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РОССИЙСКОЙ ФЕДЕРАЦИИ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4B0860">
        <w:rPr>
          <w:b/>
          <w:bCs/>
          <w:kern w:val="1"/>
          <w:sz w:val="28"/>
          <w:szCs w:val="28"/>
          <w:lang w:eastAsia="ru-RU"/>
        </w:rPr>
        <w:t>МЕТОДИЧЕСКОЕ ОБЕСПЕЧЕНИЕ ДИСЦИПЛИНЫ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B0860">
        <w:rPr>
          <w:b/>
          <w:bCs/>
          <w:sz w:val="28"/>
          <w:szCs w:val="28"/>
          <w:lang w:eastAsia="ru-RU"/>
        </w:rPr>
        <w:t>Б1.</w:t>
      </w:r>
      <w:r w:rsidR="00673539">
        <w:rPr>
          <w:b/>
          <w:bCs/>
          <w:sz w:val="28"/>
          <w:szCs w:val="28"/>
          <w:lang w:eastAsia="ru-RU"/>
        </w:rPr>
        <w:t>В</w:t>
      </w:r>
      <w:r w:rsidRPr="004B0860">
        <w:rPr>
          <w:b/>
          <w:bCs/>
          <w:sz w:val="28"/>
          <w:szCs w:val="28"/>
          <w:lang w:eastAsia="ru-RU"/>
        </w:rPr>
        <w:t>.</w:t>
      </w:r>
      <w:r w:rsidR="00D4664B">
        <w:rPr>
          <w:b/>
          <w:bCs/>
          <w:sz w:val="28"/>
          <w:szCs w:val="28"/>
          <w:lang w:eastAsia="ru-RU"/>
        </w:rPr>
        <w:t>ДВ.</w:t>
      </w:r>
      <w:bookmarkStart w:id="0" w:name="_GoBack"/>
      <w:bookmarkEnd w:id="0"/>
      <w:r w:rsidR="00D4664B">
        <w:rPr>
          <w:b/>
          <w:bCs/>
          <w:sz w:val="28"/>
          <w:szCs w:val="28"/>
          <w:lang w:eastAsia="ru-RU"/>
        </w:rPr>
        <w:t>11.01</w:t>
      </w:r>
      <w:r w:rsidRPr="004B0860">
        <w:rPr>
          <w:b/>
          <w:bCs/>
          <w:sz w:val="28"/>
          <w:szCs w:val="28"/>
          <w:lang w:eastAsia="ru-RU"/>
        </w:rPr>
        <w:t xml:space="preserve"> «БИЗНЕС-ПРОЦЕССЫ ПРОМЫШЛЕННОГО ПРЕДПРИЯТИЯ»</w:t>
      </w: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Направление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38.03.01 Экономика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B0860">
        <w:rPr>
          <w:sz w:val="28"/>
          <w:szCs w:val="28"/>
          <w:lang w:eastAsia="ru-RU"/>
        </w:rPr>
        <w:t>Направленность (профиль)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BB3C29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Форма обучения – </w:t>
      </w:r>
      <w:r>
        <w:rPr>
          <w:rFonts w:cs="Calibri"/>
          <w:sz w:val="28"/>
          <w:szCs w:val="28"/>
          <w:lang w:eastAsia="ar-SA"/>
        </w:rPr>
        <w:t>очно-заочная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Pr="004B0860" w:rsidRDefault="003C328E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Рязань 2020</w:t>
      </w:r>
    </w:p>
    <w:p w:rsidR="00F429B4" w:rsidRPr="004B0860" w:rsidRDefault="00F429B4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 w:rsidRPr="004B0860">
        <w:rPr>
          <w:sz w:val="28"/>
          <w:szCs w:val="28"/>
          <w:lang w:eastAsia="ru-RU"/>
        </w:rPr>
        <w:br w:type="page"/>
      </w:r>
      <w:r w:rsidRPr="004B0860">
        <w:rPr>
          <w:b/>
          <w:bCs/>
          <w:sz w:val="22"/>
          <w:szCs w:val="22"/>
          <w:lang w:eastAsia="ru-RU"/>
        </w:rPr>
        <w:lastRenderedPageBreak/>
        <w:t>ПЛАНЫ ПРАКТИЧЕСКИХ ЗАНЯТИЙ</w:t>
      </w:r>
    </w:p>
    <w:p w:rsidR="00F429B4" w:rsidRPr="004B0860" w:rsidRDefault="00F429B4" w:rsidP="00F429B4">
      <w:pPr>
        <w:widowControl w:val="0"/>
        <w:tabs>
          <w:tab w:val="num" w:pos="0"/>
        </w:tabs>
        <w:suppressAutoHyphens/>
        <w:ind w:firstLine="709"/>
        <w:rPr>
          <w:sz w:val="22"/>
          <w:szCs w:val="22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" w:name="_Toc94267835"/>
      <w:bookmarkStart w:id="2" w:name="_Toc94273359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1: «Организационная структура»</w:t>
      </w:r>
      <w:bookmarkEnd w:id="1"/>
      <w:bookmarkEnd w:id="2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  <w:i/>
        </w:rPr>
      </w:pPr>
      <w:r w:rsidRPr="004B0860">
        <w:rPr>
          <w:rFonts w:eastAsia="TimesNewRomanPSMT"/>
          <w:i/>
        </w:rPr>
        <w:t>Задание:</w:t>
      </w:r>
    </w:p>
    <w:p w:rsidR="004B0860" w:rsidRPr="004B0860" w:rsidRDefault="004B0860" w:rsidP="004B086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Проанализировать организационную структуру управления деятельностью известной вам организации.</w:t>
      </w:r>
    </w:p>
    <w:p w:rsidR="004B0860" w:rsidRPr="004B0860" w:rsidRDefault="004B0860" w:rsidP="004B086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Сделать выводы о действующей организационной структуре управления. Выделить ее преимущества и недостатки. Показать перспективу преобразований в структуре.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3" w:name="_Toc94273360"/>
      <w:r w:rsidRPr="004B0860">
        <w:rPr>
          <w:rFonts w:eastAsia="TimesNewRomanPSMT"/>
          <w:color w:val="auto"/>
        </w:rPr>
        <w:t>Теоретическое пояснение</w:t>
      </w:r>
      <w:bookmarkEnd w:id="3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практике управления организациями известны следующие подходы к построению организационных структур (структур управления):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функциональный;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процессный;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проектный.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Организационной структурой называют взаимосвязь и взаимозависимость всех отделов и сотрудников организации, созданной для оптимального распределения и выполнения функций и достижения целей и задач, стоящих перед организацией.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Различают следующие типы организационной структуры.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I.</w:t>
      </w:r>
      <w:r w:rsidRPr="004B0860">
        <w:rPr>
          <w:rFonts w:eastAsia="TimesNewRomanPSMT"/>
        </w:rPr>
        <w:tab/>
        <w:t>Централизованные (иерархические, бюрократические, функциональная):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 xml:space="preserve">«Пирамида». Вся власть сосредоточена в руках одного руководителя, который отвечает за все в своей организации. </w:t>
      </w:r>
      <w:proofErr w:type="gramStart"/>
      <w:r w:rsidRPr="004B0860">
        <w:rPr>
          <w:rFonts w:eastAsia="TimesNewRomanPSMT"/>
        </w:rPr>
        <w:t>Характерна</w:t>
      </w:r>
      <w:proofErr w:type="gramEnd"/>
      <w:r w:rsidRPr="004B0860">
        <w:rPr>
          <w:rFonts w:eastAsia="TimesNewRomanPSMT"/>
        </w:rPr>
        <w:t xml:space="preserve"> для небольших организаций и для авторитарного стиля управления,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 2)</w:t>
      </w:r>
      <w:r w:rsidRPr="004B0860">
        <w:rPr>
          <w:rFonts w:eastAsia="TimesNewRomanPSMT"/>
        </w:rPr>
        <w:tab/>
        <w:t>линейно-штабная структура. Возникает в условиях развивающегося бизнеса и усложнения структуры. «Штаб» состоит из людей, приближенных к руководителю. Они не обязательно осуществляют управленческие функции, но непосредственно находятся рядом с руководителем и помогают ему,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линейно-функциональная структура. Более сложный тип структуры. Полномочия и ответственность распределяются с точки зрения функций (продажи, закупки, работа с клиентами, работа с персоналом, реклама и т.п.). В условиях такой структуры ответственный сотрудник отвечает за свою область работы в организации,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линейно-дивизионная структура. Полномочия и ответственность распределяются по структурным подразделениям.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II.</w:t>
      </w:r>
      <w:r w:rsidRPr="004B0860">
        <w:rPr>
          <w:rFonts w:eastAsia="TimesNewRomanPSMT"/>
        </w:rPr>
        <w:tab/>
        <w:t>Децентрализованные (адаптивные, органические, проектные):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командная структура. Сотрудники организации работают по принципу паритета, распределяя полномочия и ответственность в соответствии со своими компетенциями. Один из них может брать на себя функцию организатора или лидера,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проектная организация. Такой тип организации возникает в условиях однократного объединения людей для достижения конкретной цели. В этом случае в группе выделяется руководитель проекта, также выполняющий функции координации и имеющий, скорее, обязанности, чем права или рычаги управления,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смешанный (матричный) тип. Объединение иерархической и проектной организаций.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III.</w:t>
      </w:r>
      <w:r w:rsidRPr="004B0860">
        <w:rPr>
          <w:rFonts w:eastAsia="TimesNewRomanPSMT"/>
        </w:rPr>
        <w:tab/>
        <w:t>Процессные. Процессная организационная структура, придерживаясь устоявшихся структур, рекомендует реконструировать распределение полномочий и ответственностей с точки зрения процессов и видов деятельности.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4" w:name="_Toc94273361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4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В АО «Управляющая компания </w:t>
      </w:r>
      <w:proofErr w:type="spellStart"/>
      <w:r w:rsidRPr="004B0860">
        <w:rPr>
          <w:rFonts w:eastAsia="TimesNewRomanPSMT"/>
        </w:rPr>
        <w:t>Верх-Исетская</w:t>
      </w:r>
      <w:proofErr w:type="spellEnd"/>
      <w:r w:rsidRPr="004B0860">
        <w:rPr>
          <w:rFonts w:eastAsia="TimesNewRomanPSMT"/>
        </w:rPr>
        <w:t>» используется линейно-функциональная организационная структура управления, которая представлена на сайте компании.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lastRenderedPageBreak/>
        <w:t>По нашему мнению, данная структура выбрана оптимально в связи с узкой специализацией отделов. Линейно-функциональная структура управления предприятия состоит: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из линейных подразделений, осуществляющих в организации основную работу;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из специализированных обслуживающих функциональных подразделений.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Линейные звенья принимают решения, а функциональные подразделения информируют и помогают линейному руководителю в разработке конкретных вопросов и подготовке соответствующих решений, программ, планов для принятия конкретных решений. Функциональные службы доводят свои решения до исполнителей либо через высшего руководителя, либо (в пределах специальных полномочий) прямо.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Как правило, функциональные службы не имеют права самостоятельно отдавать распоряжения производственным подразделениям. Роль и полномочия функциональных подразделений зависят от масштабов хозяйственной деятельности и структуры управления фирмы в целом. Функциональные службы осуществляют всю техническую подготовку производства, готовят варианты решения вопросов, связанных с руководством процессом производства, освобождают линейных руководителей от планирования, финансовых расчетов, материально-технического обеспечения производства и т.д.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Линейно-функциональная структура управления обладает целым рядом преимуществ: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быстрое осуществление действий по распоряжениям и указаниям, отдаваемым вышестоящими руководителями нижестоящим;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стабильность полномочий и ответственности персонала;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личная ответственность каждого руководителя за результаты деятельности;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профессиональное решение задач специалистами функциональных служб.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Основными</w:t>
      </w:r>
      <w:r w:rsidRPr="004B0860">
        <w:rPr>
          <w:rFonts w:eastAsia="TimesNewRomanPSMT"/>
        </w:rPr>
        <w:tab/>
        <w:t>недостатками</w:t>
      </w:r>
      <w:r w:rsidRPr="004B0860">
        <w:rPr>
          <w:rFonts w:eastAsia="TimesNewRomanPSMT"/>
        </w:rPr>
        <w:tab/>
        <w:t>линейно-функциональной</w:t>
      </w:r>
      <w:r w:rsidRPr="004B0860">
        <w:rPr>
          <w:rFonts w:eastAsia="TimesNewRomanPSMT"/>
        </w:rPr>
        <w:tab/>
        <w:t>структуры управления являются: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разногласия между линейными и функциональными службами;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противодействие линейных менеджеров работе функциональных специалистов;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 •</w:t>
      </w:r>
      <w:r w:rsidRPr="004B0860">
        <w:rPr>
          <w:rFonts w:eastAsia="TimesNewRomanPSMT"/>
        </w:rPr>
        <w:tab/>
      </w:r>
      <w:proofErr w:type="spellStart"/>
      <w:r w:rsidRPr="004B0860">
        <w:rPr>
          <w:rFonts w:eastAsia="TimesNewRomanPSMT"/>
        </w:rPr>
        <w:t>неналаженный</w:t>
      </w:r>
      <w:proofErr w:type="spellEnd"/>
      <w:r w:rsidRPr="004B0860">
        <w:rPr>
          <w:rFonts w:eastAsia="TimesNewRomanPSMT"/>
        </w:rPr>
        <w:t xml:space="preserve"> документооборот;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возникновение внутрипроизводственных барьеров, ограничивающих рамки заинтересованности функциональных подразделений в эффективном развитии производства.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Выводы: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преимущества позволяют быстро реагировать на изменения во внешней среде, сочетать линейные (производственные) подразделения, выполняющие весь объем основной производственной деятельности, с отделами и службами, реализующими конкретные функции управления в масштабах всей организации;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недостатки не позволяют применять структуру для управления сложными и крупными предприятиями сферы гостеприимства.</w:t>
      </w: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r w:rsidRPr="004B0860">
        <w:rPr>
          <w:rFonts w:ascii="Arial" w:eastAsia="TimesNewRomanPSMT" w:hAnsi="Arial" w:cs="Arial"/>
          <w:i/>
          <w:iCs/>
          <w:sz w:val="20"/>
          <w:szCs w:val="28"/>
        </w:rPr>
        <w:br w:type="page"/>
      </w:r>
      <w:bookmarkStart w:id="5" w:name="_Toc94273362"/>
      <w:r w:rsidRPr="004B0860">
        <w:rPr>
          <w:rFonts w:ascii="Arial" w:eastAsia="TimesNewRomanPSMT" w:hAnsi="Arial" w:cs="Arial"/>
          <w:i/>
          <w:iCs/>
          <w:sz w:val="20"/>
          <w:szCs w:val="28"/>
        </w:rPr>
        <w:lastRenderedPageBreak/>
        <w:t>Практическое занятие 2: «Идентификация и моделирование процессов»</w:t>
      </w:r>
      <w:bookmarkEnd w:id="5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Смоделировать </w:t>
      </w:r>
      <w:proofErr w:type="spellStart"/>
      <w:r w:rsidRPr="004B0860">
        <w:rPr>
          <w:rFonts w:eastAsia="TimesNewRomanPSMT"/>
        </w:rPr>
        <w:t>субпроцесс</w:t>
      </w:r>
      <w:proofErr w:type="spellEnd"/>
      <w:r w:rsidRPr="004B0860">
        <w:rPr>
          <w:rFonts w:eastAsia="TimesNewRomanPSMT"/>
        </w:rPr>
        <w:t xml:space="preserve"> «Учебная практика» по форме, представленной на рис. 1.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124200" cy="1028700"/>
            <wp:effectExtent l="0" t="0" r="0" b="0"/>
            <wp:docPr id="8" name="Рисунок 8" descr="!!!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1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Форма идентификации процесса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6" w:name="_Toc94273363"/>
      <w:r w:rsidRPr="004B0860">
        <w:rPr>
          <w:rFonts w:eastAsia="TimesNewRomanPSMT"/>
          <w:color w:val="auto"/>
        </w:rPr>
        <w:t>Теоретическое пояснение</w:t>
      </w:r>
      <w:bookmarkEnd w:id="6"/>
    </w:p>
    <w:p w:rsidR="004B0860" w:rsidRPr="004B0860" w:rsidRDefault="004B0860" w:rsidP="004B0860">
      <w:pPr>
        <w:rPr>
          <w:lang w:bidi="ru-RU"/>
        </w:rPr>
      </w:pP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Под идентификацией процесса понимают присвоение процессу уникального идентификационного признака, посредством которого процесс однозначно отличается от любого другого процесса в сети (системе) процессов в организации.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Существуют различные подходы к идентификации процессов. Идентификация процесса может осуществляться, например: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уникальным названием процесса;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с помощью маркировки – присвоения уникального идентификационного номера;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присвоением имени;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другими средствами.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Важно, чтобы принятый подход к идентификации процессов и взаимосвязей между ними наглядно и оперативно обеспечивал определение места процесса или его элементов в рамках моделируемой системы процессов.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Адекватное описание процессов возможно с помощью процедуры, называемой моделированием. Под термином «моделирование» следует понимать процесс создания точного, достаточного, лаконичного, удобного для восприятия и анализа описания системы, как совокупности взаимодействующих компонентов и взаимосвязей между ними.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Деятельность организации описать достаточно трудно, потому что она является достаточно сложной социально-экономической системой, со сложным характером взаимоотношений между составными частями и аспектами. Как правило, невозможно простыми обычными средствами обеспечить понимание таких систем.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Моделирование предполагает наличие в обязательном порядке установленного набора изобразительных (выразительных) средств и правил – языка описания объекта. Среди наиболее распространенных языков описания и соответствующих им моделей можно выделить: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вербальную модель – описание на естественном языке;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математическую модель – описание с помощью средств и правил определенного раздела (разделов) математики;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графическую модель – описание объекта с помощью средств и правил графического изображения.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7" w:name="_Toc94273364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7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1724025"/>
            <wp:effectExtent l="0" t="0" r="0" b="9525"/>
            <wp:docPr id="7" name="Рисунок 7" descr="!!!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!!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2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Моделирование</w:t>
      </w:r>
      <w:r w:rsidRPr="004B0860">
        <w:rPr>
          <w:color w:val="auto"/>
          <w:spacing w:val="-6"/>
        </w:rPr>
        <w:t xml:space="preserve"> </w:t>
      </w:r>
      <w:r w:rsidRPr="004B0860">
        <w:rPr>
          <w:color w:val="auto"/>
        </w:rPr>
        <w:t>процесса «Учебная</w:t>
      </w:r>
      <w:r w:rsidRPr="004B0860">
        <w:rPr>
          <w:color w:val="auto"/>
          <w:spacing w:val="-4"/>
        </w:rPr>
        <w:t xml:space="preserve"> </w:t>
      </w:r>
      <w:r w:rsidRPr="004B0860">
        <w:rPr>
          <w:color w:val="auto"/>
        </w:rPr>
        <w:t>практика»</w:t>
      </w: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8" w:name="_Toc94273365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3: «Описание бизнес-процессов»</w:t>
      </w:r>
      <w:bookmarkEnd w:id="8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Представить описание процесса «Анализ договоров» в виде диаграммы последовательностей (алгоритма).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1. На входе: потенциальный заказчик со своими требованиями к продукции, оформленными в виде «Заявки». «Заявка» содержит информацию о требуемой продукции, запрос о сроках ее изготовления, цене, условиях оплаты и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т.д. «Заявка» может быть получена в письменном виде по традиционной либо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электронной почте или посредством факсимильной связи и должна быть направлена Генеральному директору для рассмотрения (визирования). Все «Заявки»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после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рассмотрения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Генеральным</w:t>
      </w:r>
      <w:r w:rsidRPr="004B0860">
        <w:rPr>
          <w:spacing w:val="22"/>
          <w:sz w:val="20"/>
          <w:szCs w:val="14"/>
        </w:rPr>
        <w:t xml:space="preserve"> </w:t>
      </w:r>
      <w:r w:rsidRPr="004B0860">
        <w:rPr>
          <w:sz w:val="20"/>
          <w:szCs w:val="14"/>
        </w:rPr>
        <w:t>директором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поступают</w:t>
      </w:r>
      <w:r w:rsidRPr="004B0860">
        <w:rPr>
          <w:spacing w:val="22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ППО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регистрируются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«Журнале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входящих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документов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ППО».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2.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На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основе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«Заявки»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потенциальному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направить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«Опросный лист»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целью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идентификации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3.</w:t>
      </w:r>
      <w:r w:rsidRPr="004B0860">
        <w:rPr>
          <w:spacing w:val="5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Зарегистрировать</w:t>
      </w:r>
      <w:r w:rsidRPr="004B0860">
        <w:rPr>
          <w:spacing w:val="5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заполненный</w:t>
      </w:r>
      <w:r w:rsidRPr="004B0860">
        <w:rPr>
          <w:spacing w:val="51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потенциальным</w:t>
      </w:r>
      <w:r w:rsidRPr="004B0860">
        <w:rPr>
          <w:spacing w:val="50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заказчиком</w:t>
      </w:r>
      <w:r w:rsidRPr="004B0860">
        <w:rPr>
          <w:spacing w:val="49"/>
          <w:sz w:val="20"/>
          <w:szCs w:val="14"/>
        </w:rPr>
        <w:t xml:space="preserve"> </w:t>
      </w:r>
      <w:r w:rsidRPr="004B0860">
        <w:rPr>
          <w:sz w:val="20"/>
          <w:szCs w:val="14"/>
        </w:rPr>
        <w:t>«Опросный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лист»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«Журнале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заявок».</w:t>
      </w:r>
    </w:p>
    <w:p w:rsidR="004B0860" w:rsidRPr="004B0860" w:rsidRDefault="004B0860" w:rsidP="004B0860">
      <w:pPr>
        <w:pStyle w:val="TableParagraph"/>
        <w:tabs>
          <w:tab w:val="left" w:pos="1156"/>
          <w:tab w:val="left" w:pos="2466"/>
          <w:tab w:val="left" w:pos="5099"/>
          <w:tab w:val="left" w:pos="6677"/>
          <w:tab w:val="left" w:pos="7574"/>
          <w:tab w:val="left" w:pos="7948"/>
        </w:tabs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4.</w:t>
      </w:r>
      <w:r w:rsidRPr="004B0860">
        <w:rPr>
          <w:sz w:val="20"/>
          <w:szCs w:val="14"/>
        </w:rPr>
        <w:tab/>
        <w:t>Передать зарегистрированный «Опросный лист» в процедуру СМК.210 «Проектирование»</w:t>
      </w:r>
      <w:r w:rsidRPr="004B0860">
        <w:rPr>
          <w:spacing w:val="16"/>
          <w:sz w:val="20"/>
          <w:szCs w:val="14"/>
        </w:rPr>
        <w:t xml:space="preserve"> </w:t>
      </w:r>
      <w:r w:rsidRPr="004B0860">
        <w:rPr>
          <w:sz w:val="20"/>
          <w:szCs w:val="14"/>
        </w:rPr>
        <w:t>Главному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конструктору</w:t>
      </w:r>
      <w:r w:rsidRPr="004B0860">
        <w:rPr>
          <w:spacing w:val="13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13"/>
          <w:sz w:val="20"/>
          <w:szCs w:val="14"/>
        </w:rPr>
        <w:t xml:space="preserve"> </w:t>
      </w:r>
      <w:r w:rsidRPr="004B0860">
        <w:rPr>
          <w:sz w:val="20"/>
          <w:szCs w:val="14"/>
        </w:rPr>
        <w:t>анализа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64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5.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Главный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конструктор,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начальник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ОКЭП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совместно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начальником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ТО анализируют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требования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возможности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производства.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6.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отрицательном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решении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относительно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возможностей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производства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пишется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мотивированный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отказ.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7. При положительном решении относительно возможностей производства Главным конструктором составляется «Габаритный чертеж» и «Дополнение к габаритному чертежу» с учетом требований, не установленных заказчиком,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но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подразумеваемого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применения,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а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также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учетом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законодательных,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регулирующих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внутренних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актов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организации.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8.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ходе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исполнения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процедуры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СМК.210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«Проектирование»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–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«Габаритный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чертеж»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«Дополнение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габаритному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9. Отправить на согласование и подпись потенциальному заказчику «Габаритный чертеж» и «Дополнение к габаритному чертежу» (согласование тре</w:t>
      </w:r>
      <w:r w:rsidRPr="004B0860">
        <w:rPr>
          <w:spacing w:val="-2"/>
          <w:sz w:val="20"/>
          <w:szCs w:val="14"/>
        </w:rPr>
        <w:t>бований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к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продукции,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возможно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отличающихся</w:t>
      </w:r>
      <w:r w:rsidRPr="004B0860">
        <w:rPr>
          <w:spacing w:val="-9"/>
          <w:sz w:val="20"/>
          <w:szCs w:val="14"/>
        </w:rPr>
        <w:t xml:space="preserve"> </w:t>
      </w:r>
      <w:proofErr w:type="gramStart"/>
      <w:r w:rsidRPr="004B0860">
        <w:rPr>
          <w:spacing w:val="-1"/>
          <w:sz w:val="20"/>
          <w:szCs w:val="14"/>
        </w:rPr>
        <w:t>от</w:t>
      </w:r>
      <w:proofErr w:type="gramEnd"/>
      <w:r w:rsidRPr="004B0860">
        <w:rPr>
          <w:spacing w:val="-1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сформулированных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ранее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 xml:space="preserve">на </w:t>
      </w:r>
      <w:r w:rsidRPr="004B0860">
        <w:rPr>
          <w:sz w:val="20"/>
          <w:szCs w:val="14"/>
        </w:rPr>
        <w:t>этапе).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 xml:space="preserve">10. Получить от потенциального заказчика </w:t>
      </w:r>
      <w:proofErr w:type="gramStart"/>
      <w:r w:rsidRPr="004B0860">
        <w:rPr>
          <w:sz w:val="20"/>
          <w:szCs w:val="14"/>
        </w:rPr>
        <w:t>подписанные</w:t>
      </w:r>
      <w:proofErr w:type="gramEnd"/>
      <w:r w:rsidRPr="004B0860">
        <w:rPr>
          <w:sz w:val="20"/>
          <w:szCs w:val="14"/>
        </w:rPr>
        <w:t xml:space="preserve"> «Габаритный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чертеж» и «Дополнение к габаритному чертежу». После подписания «Габаритного чертежа» и «Дополнения к габаритному чертежу» потенциальный заказчик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приобретает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статус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реального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  <w:r w:rsidRPr="004B0860">
        <w:rPr>
          <w:spacing w:val="-12"/>
          <w:sz w:val="20"/>
          <w:szCs w:val="14"/>
        </w:rPr>
        <w:t xml:space="preserve"> </w:t>
      </w:r>
      <w:proofErr w:type="gramStart"/>
      <w:r w:rsidRPr="004B0860">
        <w:rPr>
          <w:sz w:val="20"/>
          <w:szCs w:val="14"/>
        </w:rPr>
        <w:t>Оригиналы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подписанных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z w:val="20"/>
          <w:szCs w:val="14"/>
        </w:rPr>
        <w:t>«Га</w:t>
      </w:r>
      <w:r w:rsidRPr="004B0860">
        <w:rPr>
          <w:spacing w:val="-1"/>
          <w:sz w:val="20"/>
          <w:szCs w:val="14"/>
        </w:rPr>
        <w:t>баритного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чертежа»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«Дополнения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к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габаритному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хранятся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вместе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 «Договором».</w:t>
      </w:r>
      <w:proofErr w:type="gramEnd"/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11. Сформировать стоимость изготовления продукции. На основании согласованных с заказчиком «Габаритного чертежа», «Дополнения к габаритному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предварительных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норм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материала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составляется «Плановая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калькуляция».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12.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Сформировать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отправить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реальному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письмо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указанием стоимости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сроков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изготовления.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3"/>
          <w:sz w:val="20"/>
          <w:szCs w:val="14"/>
        </w:rPr>
        <w:t>13.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Получить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письмо-ответ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от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реального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заказчика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его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согласием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на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изго</w:t>
      </w:r>
      <w:r w:rsidRPr="004B0860">
        <w:rPr>
          <w:spacing w:val="-4"/>
          <w:sz w:val="20"/>
          <w:szCs w:val="14"/>
        </w:rPr>
        <w:t>товление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продукции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с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установленными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требованиями.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14. На основании письма-ответа составить и подписать Ген. директором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ОАО «</w:t>
      </w:r>
      <w:proofErr w:type="spellStart"/>
      <w:r w:rsidRPr="004B0860">
        <w:rPr>
          <w:sz w:val="20"/>
          <w:szCs w:val="14"/>
        </w:rPr>
        <w:t>МКрЗ</w:t>
      </w:r>
      <w:proofErr w:type="spellEnd"/>
      <w:r w:rsidRPr="004B0860">
        <w:rPr>
          <w:sz w:val="20"/>
          <w:szCs w:val="14"/>
        </w:rPr>
        <w:t>» Договор на изготовление и поставку продукции. Зарегистриро</w:t>
      </w:r>
      <w:r w:rsidRPr="004B0860">
        <w:rPr>
          <w:spacing w:val="-1"/>
          <w:sz w:val="20"/>
          <w:szCs w:val="14"/>
        </w:rPr>
        <w:t>вать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16"/>
          <w:sz w:val="20"/>
          <w:szCs w:val="14"/>
        </w:rPr>
        <w:t xml:space="preserve"> </w:t>
      </w:r>
      <w:r w:rsidRPr="004B0860">
        <w:rPr>
          <w:sz w:val="20"/>
          <w:szCs w:val="14"/>
        </w:rPr>
        <w:t>«Книге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договоров».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На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данном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z w:val="20"/>
          <w:szCs w:val="14"/>
        </w:rPr>
        <w:t xml:space="preserve">этапе </w:t>
      </w:r>
      <w:r w:rsidRPr="004B0860">
        <w:rPr>
          <w:spacing w:val="-4"/>
          <w:sz w:val="20"/>
          <w:szCs w:val="14"/>
        </w:rPr>
        <w:t>определить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номер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заказа.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lastRenderedPageBreak/>
        <w:t>15.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Подписанный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нашей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стороны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приложением</w:t>
      </w:r>
      <w:r w:rsidRPr="004B0860">
        <w:rPr>
          <w:spacing w:val="36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отправить на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подпись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реальному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2"/>
          <w:sz w:val="20"/>
          <w:szCs w:val="14"/>
        </w:rPr>
        <w:t>16.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Получить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Договор.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оригинал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хранится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 xml:space="preserve">в </w:t>
      </w:r>
      <w:r w:rsidRPr="004B0860">
        <w:rPr>
          <w:sz w:val="20"/>
          <w:szCs w:val="14"/>
        </w:rPr>
        <w:t>ППО.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17.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предоплату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Договору.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3"/>
          <w:sz w:val="20"/>
          <w:szCs w:val="14"/>
        </w:rPr>
        <w:t>18.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После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получения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предоплаты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передать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в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процедуру</w:t>
      </w:r>
      <w:r w:rsidRPr="004B0860">
        <w:rPr>
          <w:spacing w:val="-15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СМК.22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«Планиро</w:t>
      </w:r>
      <w:r w:rsidRPr="004B0860">
        <w:rPr>
          <w:sz w:val="20"/>
          <w:szCs w:val="14"/>
        </w:rPr>
        <w:t>вание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выпуска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(на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запу</w:t>
      </w:r>
      <w:proofErr w:type="gramStart"/>
      <w:r w:rsidRPr="004B0860">
        <w:rPr>
          <w:sz w:val="20"/>
          <w:szCs w:val="14"/>
        </w:rPr>
        <w:t>ск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2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</w:t>
      </w:r>
      <w:proofErr w:type="gramEnd"/>
      <w:r w:rsidRPr="004B0860">
        <w:rPr>
          <w:sz w:val="20"/>
          <w:szCs w:val="14"/>
        </w:rPr>
        <w:t>оизводство),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подписанную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копию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«Габаритного чертежа» и «Дополнения к габаритному чертежу», зарегистрировать при этом выдачу Документов в СМК.21 «Журнале регистрации заявок»,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приготовленный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«Лист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данных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по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Договору».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19.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«Лист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данных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извещения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кранового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оборудования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отгрузке»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в ходе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исполнения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процедуры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СМК.22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«Планирование выпуска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продукции»,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котором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указаны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номер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заказа,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комплектность,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форма</w:t>
      </w:r>
      <w:r w:rsidRPr="004B0860">
        <w:rPr>
          <w:spacing w:val="-64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сумма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транспортных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расходов.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20.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Составить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«Извещение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отгрузке»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произвольной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форме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приложением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счета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оплаты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транспортных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расходов.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Известить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</w:t>
      </w:r>
      <w:proofErr w:type="gramStart"/>
      <w:r w:rsidRPr="004B0860">
        <w:rPr>
          <w:sz w:val="20"/>
          <w:szCs w:val="14"/>
        </w:rPr>
        <w:t>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ее</w:t>
      </w:r>
      <w:proofErr w:type="gramEnd"/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21.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78"/>
          <w:sz w:val="20"/>
          <w:szCs w:val="14"/>
        </w:rPr>
        <w:t xml:space="preserve"> </w:t>
      </w:r>
      <w:r w:rsidRPr="004B0860">
        <w:rPr>
          <w:sz w:val="20"/>
          <w:szCs w:val="14"/>
        </w:rPr>
        <w:t>окончательный</w:t>
      </w:r>
      <w:r w:rsidRPr="004B0860">
        <w:rPr>
          <w:spacing w:val="80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расчет</w:t>
      </w:r>
      <w:r w:rsidRPr="004B0860">
        <w:rPr>
          <w:spacing w:val="79"/>
          <w:sz w:val="20"/>
          <w:szCs w:val="14"/>
        </w:rPr>
        <w:t xml:space="preserve"> </w:t>
      </w:r>
      <w:r w:rsidRPr="004B0860">
        <w:rPr>
          <w:sz w:val="20"/>
          <w:szCs w:val="14"/>
        </w:rPr>
        <w:t>за</w:t>
      </w:r>
      <w:r w:rsidRPr="004B0860">
        <w:rPr>
          <w:spacing w:val="82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изготовленную</w:t>
      </w:r>
      <w:r w:rsidRPr="004B0860">
        <w:rPr>
          <w:spacing w:val="7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продукцию</w:t>
      </w:r>
      <w:r w:rsidRPr="004B0860">
        <w:rPr>
          <w:spacing w:val="82"/>
          <w:sz w:val="20"/>
          <w:szCs w:val="14"/>
        </w:rPr>
        <w:t xml:space="preserve"> </w:t>
      </w:r>
      <w:r w:rsidRPr="004B0860">
        <w:rPr>
          <w:sz w:val="20"/>
          <w:szCs w:val="14"/>
        </w:rPr>
        <w:t>и транспортные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расходы.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22.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Составить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«Отгрузочные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реквизиты»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передать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процедуру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СМК.26 «Хранение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отгрузка».</w:t>
      </w:r>
    </w:p>
    <w:p w:rsidR="004B0860" w:rsidRPr="004B0860" w:rsidRDefault="004B0860" w:rsidP="004B0860">
      <w:pPr>
        <w:pStyle w:val="TableParagraph"/>
        <w:ind w:firstLine="709"/>
        <w:jc w:val="both"/>
        <w:rPr>
          <w:rFonts w:eastAsia="TimesNewRomanPSMT"/>
        </w:rPr>
      </w:pPr>
      <w:r w:rsidRPr="004B0860">
        <w:rPr>
          <w:sz w:val="20"/>
          <w:szCs w:val="14"/>
        </w:rPr>
        <w:t>На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выходе: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устно</w:t>
      </w:r>
      <w:r w:rsidRPr="004B0860">
        <w:rPr>
          <w:spacing w:val="24"/>
          <w:sz w:val="20"/>
          <w:szCs w:val="14"/>
        </w:rPr>
        <w:t xml:space="preserve"> </w:t>
      </w:r>
      <w:r w:rsidRPr="004B0860">
        <w:rPr>
          <w:sz w:val="20"/>
          <w:szCs w:val="14"/>
        </w:rPr>
        <w:t>дать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команду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начале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отгрузки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процедуру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СМК.22 «Планирование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выпуска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9" w:name="_Toc94273366"/>
      <w:r w:rsidRPr="004B0860">
        <w:rPr>
          <w:rFonts w:eastAsia="TimesNewRomanPSMT"/>
          <w:color w:val="auto"/>
        </w:rPr>
        <w:t>Теоретическое пояснение</w:t>
      </w:r>
      <w:bookmarkEnd w:id="9"/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 xml:space="preserve">Отображение процессов помогает представить их в лаконичной </w:t>
      </w:r>
      <w:proofErr w:type="gramStart"/>
      <w:r w:rsidRPr="004B0860">
        <w:rPr>
          <w:lang w:bidi="ru-RU"/>
        </w:rPr>
        <w:t>форме</w:t>
      </w:r>
      <w:proofErr w:type="gramEnd"/>
      <w:r w:rsidRPr="004B0860">
        <w:rPr>
          <w:lang w:bidi="ru-RU"/>
        </w:rPr>
        <w:t xml:space="preserve"> как в целом, так и по основным составляющим. Отображение процессов особую роль играет при анализе, обсуждении для выработки специалистами единого подхода внесения изменений в существующее состояние.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 xml:space="preserve">Существует большое количество методов отображения процессов, каждый имеет свои преимущества и недостатки. Наиболее популярными, современными являются </w:t>
      </w:r>
      <w:proofErr w:type="gramStart"/>
      <w:r w:rsidRPr="004B0860">
        <w:rPr>
          <w:lang w:bidi="ru-RU"/>
        </w:rPr>
        <w:t>следующие</w:t>
      </w:r>
      <w:proofErr w:type="gramEnd"/>
      <w:r w:rsidRPr="004B0860">
        <w:rPr>
          <w:lang w:bidi="ru-RU"/>
        </w:rPr>
        <w:t>: диаграмма потоков, блок-схема, сетевой график, диаграмма последовательностей, процессно-функциональная диаграмма.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lang w:bidi="ru-RU"/>
        </w:rPr>
        <w:t xml:space="preserve">Универсального метода не существует, ни один из перечисленных не дает полной картины, поэтому главный критерий – это пригодность и полезность в конкретной задаче. 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0" w:name="_Toc94273367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0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Возможный вариант построения алгоритма «Анализ договоров» представлен на рис. 3.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667125" cy="4619625"/>
            <wp:effectExtent l="0" t="0" r="9525" b="9525"/>
            <wp:docPr id="6" name="Рисунок 6" descr="!!!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3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Вариант построения алгоритма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1" w:name="_Toc94273368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4: «Описание последовательности действий»</w:t>
      </w:r>
      <w:bookmarkEnd w:id="11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Описать в логической последовательности действия персонала структурных подразделений производственного цеха, специализирующегося на выполнении определенных видов деятельности.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2" w:name="_Toc94273369"/>
      <w:r w:rsidRPr="004B0860">
        <w:rPr>
          <w:rFonts w:eastAsia="TimesNewRomanPSMT"/>
          <w:color w:val="auto"/>
        </w:rPr>
        <w:t>Теоретическое пояснение</w:t>
      </w:r>
      <w:bookmarkEnd w:id="12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классическом управлении промышленным предприятием всегда присутствуют подразделения: производственные, снабжения, сбыта, комплектации, проектирования и разработки, ремонта оборудования, финансов, планирования, труда и заработной платы и прочие. Выполнение каждым из них своей работы определяется этапом жизненного цикла продукции. В крупных подразделениях, например, производственном цехе, тоже образованы функциональные области: производственные участки, планово-диспетчерское бюро, технологическое бюро, планово-экономическое бюро, бюро труда и заработной платы и прочие.</w:t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2724150"/>
            <wp:effectExtent l="0" t="0" r="0" b="0"/>
            <wp:docPr id="5" name="Рисунок 5" descr="!!!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!!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4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Организация работы в цехе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На рис. 4 представлена организация производства в одном структурном подразделении (цехе), начиная с поступления материально-технических ресурсов (МТР) до изготовления готовой продукции.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Производство представлено этапами, функциональные границы которых определены специализацией работ. Функциями получения и складирования МТР наделены работники планово-диспетчерского бюро, отдела снабжения, службы диспетчера и склада, которые участвуют в подготовке производства (т.е. в операциях, которые носят подготовительный характер). Выполнение технологических операций осуществляется непосредственно на производственных участках цеха и обеспечивается функциональными действиями сотрудников технологического бюро, отдела труда и заработной платы. Контроль (включая как послеоперационный, так и окончательный) осуществляется работниками отдела технического контроля (ОТК), наделенными функциями оценки соответствия изготавливаемой продукции предъявляемым ей требованиям. Операции промежуточного складирования осуществляются работниками планов</w:t>
      </w:r>
      <w:proofErr w:type="gramStart"/>
      <w:r w:rsidRPr="004B0860">
        <w:rPr>
          <w:rFonts w:eastAsia="TimesNewRomanPSMT"/>
        </w:rPr>
        <w:t>о-</w:t>
      </w:r>
      <w:proofErr w:type="gramEnd"/>
      <w:r w:rsidRPr="004B0860">
        <w:rPr>
          <w:rFonts w:eastAsia="TimesNewRomanPSMT"/>
        </w:rPr>
        <w:t xml:space="preserve"> диспетчерского бюро, службы диспетчера, производственного участка, а движение бракованных изделий сопровождается действиями технологов, работников производственных участков и работников ОТК и т. д.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3" w:name="_Toc94273370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3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Принять материально-технические ресурсы (планово-диспетчерское бюро, работники отдела снабжения, службы диспетчера и склада).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Складировать МТР (планово-диспетчерское бюро, работники отдела снабжения, службы диспетчера и склада).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Провести технологическую операцию (технологическое бюро, сотрудники отдела труда и заработной платы).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Контролировать МТР, </w:t>
      </w:r>
      <w:proofErr w:type="gramStart"/>
      <w:r w:rsidRPr="004B0860">
        <w:rPr>
          <w:rFonts w:eastAsia="TimesNewRomanPSMT"/>
        </w:rPr>
        <w:t>прошедшие</w:t>
      </w:r>
      <w:proofErr w:type="gramEnd"/>
      <w:r w:rsidRPr="004B0860">
        <w:rPr>
          <w:rFonts w:eastAsia="TimesNewRomanPSMT"/>
        </w:rPr>
        <w:t xml:space="preserve"> технологическую операцию (отдел технического контроля).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Анализировать ситуацию и решить, куда материалы, полуфабрикаты и комплектующие следуют дальше, в годную продукцию или в брак (планово-экономическое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выпустить годную продукцию или транспортировать брак (планово-экономическое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Выпустить годную продукцию (при положительном решении) (планово-экономическое бюро, бюро труда, технологическое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Транспортировать брак (при отрицательном решении) (планово-экономическое бюро; </w:t>
      </w:r>
      <w:r w:rsidRPr="004B0860">
        <w:rPr>
          <w:rFonts w:eastAsia="TimesNewRomanPSMT"/>
        </w:rPr>
        <w:lastRenderedPageBreak/>
        <w:t>бюро труда, технологическое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окончена обработка в цехе или нет (работники производственных участков).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обработка в цехе не окончена, то транспортировать на промежуточное складирование материалы, полуфабрикаты и комплектующие (планово-диспетчерское бюро, службы диспетчера,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Транспортировать промежуточное складирование снова на технологическую операцию (планово-диспетчерское бюро, службы диспетчера,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обработка в цехе окончена, то решить, передать в цех</w:t>
      </w:r>
      <w:proofErr w:type="gramStart"/>
      <w:r w:rsidRPr="004B0860">
        <w:rPr>
          <w:rFonts w:eastAsia="TimesNewRomanPSMT"/>
        </w:rPr>
        <w:t>а-</w:t>
      </w:r>
      <w:proofErr w:type="gramEnd"/>
      <w:r w:rsidRPr="004B0860">
        <w:rPr>
          <w:rFonts w:eastAsia="TimesNewRomanPSMT"/>
        </w:rPr>
        <w:t xml:space="preserve"> смежники или складировать и доставить (работники производственного участка,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Передать в цеха-смежники или складировать и доставить готовую продукцию (работники производственного участка, планово- 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Транспортировать в цеха-смежники (технологи, работники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Завершить обработку (готовая продукция </w:t>
      </w:r>
      <w:proofErr w:type="gramStart"/>
      <w:r w:rsidRPr="004B0860">
        <w:rPr>
          <w:rFonts w:eastAsia="TimesNewRomanPSMT"/>
        </w:rPr>
        <w:t>находится</w:t>
      </w:r>
      <w:proofErr w:type="gramEnd"/>
      <w:r w:rsidRPr="004B0860">
        <w:rPr>
          <w:rFonts w:eastAsia="TimesNewRomanPSMT"/>
        </w:rPr>
        <w:t xml:space="preserve"> на последней стадии технологической операции) (технологическое бюро, планово- экономическое бюро, бюро труда, работники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Складировать готовую продукцию (технологическое бюро, планово-экономическое бюро, бюро труда, работники производственного участка, технологи).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Доставить готовую продукцию (технологическое бюро, планово-экономическое бюро, бюро труда, работники производственного участка, технологи);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исправимый брак или нет (технологи, работники производственных участков, работники ОТК,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исправимый в данном цехе или исправимый в другом цехе брак (технологи, работники производственных участков, работники ОТК,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исправимый в данном цехе, то транспортировать исправимый в данном цехе брак снова на технологическую операцию (технологи, работники производственных участков, работники ОТК).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исправимый в другом цехе, то поставить на исправление в другом цехе брак (технологи, работники производственных участков, работники ОТК).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неисправимый, то изолировать брак (технологи, работники производственных участков, работники ОТК).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4" w:name="_Toc94273371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5: «Совершенствование бизнес-процессов»</w:t>
      </w:r>
      <w:bookmarkEnd w:id="14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Задание: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Выбрать процесс для совершенствования и осуществления действий по изменениям. Подвергнуть его совершенствованию, ориентируясь на задание. Построить процесс «как должно быть», применяя технологию реинжиниринга.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Порядок выполнения задания: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прочитайте введение и описание процесса, определите начало (вход) и его окончание (выход);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определите всех действующих лиц процесса;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напишите на карточках все действия и решающие моменты процесса. Для обозначения используйте символы, представленные на рис. 5;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3019425"/>
            <wp:effectExtent l="0" t="0" r="0" b="9525"/>
            <wp:docPr id="4" name="Рисунок 4" descr="!!!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!!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5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Символы</w:t>
      </w:r>
      <w:r w:rsidRPr="004B0860">
        <w:rPr>
          <w:color w:val="auto"/>
          <w:spacing w:val="-5"/>
        </w:rPr>
        <w:t xml:space="preserve"> </w:t>
      </w:r>
      <w:r w:rsidRPr="004B0860">
        <w:rPr>
          <w:color w:val="auto"/>
        </w:rPr>
        <w:t>для</w:t>
      </w:r>
      <w:r w:rsidRPr="004B0860">
        <w:rPr>
          <w:color w:val="auto"/>
          <w:spacing w:val="-3"/>
        </w:rPr>
        <w:t xml:space="preserve"> </w:t>
      </w:r>
      <w:r w:rsidRPr="004B0860">
        <w:rPr>
          <w:color w:val="auto"/>
        </w:rPr>
        <w:t>изображения</w:t>
      </w:r>
      <w:r w:rsidRPr="004B0860">
        <w:rPr>
          <w:color w:val="auto"/>
          <w:spacing w:val="-2"/>
        </w:rPr>
        <w:t xml:space="preserve"> </w:t>
      </w:r>
      <w:r w:rsidRPr="004B0860">
        <w:rPr>
          <w:color w:val="auto"/>
        </w:rPr>
        <w:t>карты</w:t>
      </w:r>
      <w:r w:rsidRPr="004B0860">
        <w:rPr>
          <w:color w:val="auto"/>
          <w:spacing w:val="-4"/>
        </w:rPr>
        <w:t xml:space="preserve"> </w:t>
      </w:r>
      <w:r w:rsidRPr="004B0860">
        <w:rPr>
          <w:color w:val="auto"/>
        </w:rPr>
        <w:t>процесса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на большом листе бумаги постройте систему координат: по оси абсцисс отложите время, по оси ординат расположите действующих лиц (рис. 6);</w:t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2943225"/>
            <wp:effectExtent l="0" t="0" r="0" b="9525"/>
            <wp:docPr id="3" name="Рисунок 3" descr="!!!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!!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6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Карта процесса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5)</w:t>
      </w:r>
      <w:r w:rsidRPr="004B0860">
        <w:rPr>
          <w:rFonts w:eastAsia="TimesNewRomanPSMT"/>
        </w:rPr>
        <w:tab/>
        <w:t>постройте процесс «как есть»: расположите карточки на листе, учитывая расположение событий во времени и «по действующим лицам». Укажите связи между карточками с помощью стрелок;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6)</w:t>
      </w:r>
      <w:r w:rsidRPr="004B0860">
        <w:rPr>
          <w:rFonts w:eastAsia="TimesNewRomanPSMT"/>
        </w:rPr>
        <w:tab/>
        <w:t>проставьте на оси абсцисс отметки времени для каждой операции;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7)</w:t>
      </w:r>
      <w:r w:rsidRPr="004B0860">
        <w:rPr>
          <w:rFonts w:eastAsia="TimesNewRomanPSMT"/>
        </w:rPr>
        <w:tab/>
        <w:t>расставьте точки ожидания;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8)</w:t>
      </w:r>
      <w:r w:rsidRPr="004B0860">
        <w:rPr>
          <w:rFonts w:eastAsia="TimesNewRomanPSMT"/>
        </w:rPr>
        <w:tab/>
        <w:t>посчитайте полезное время и время ожиданий;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9)</w:t>
      </w:r>
      <w:r w:rsidRPr="004B0860">
        <w:rPr>
          <w:rFonts w:eastAsia="TimesNewRomanPSMT"/>
        </w:rPr>
        <w:tab/>
        <w:t>проанализируйте карту процесса и дайте свои рекомендации по построению процесса «как должно быть»;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10)</w:t>
      </w:r>
      <w:r w:rsidRPr="004B0860">
        <w:rPr>
          <w:rFonts w:eastAsia="TimesNewRomanPSMT"/>
        </w:rPr>
        <w:tab/>
        <w:t>сформулируйте основную идею уровня исполнения «как могло бы быть».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5" w:name="_Toc94273372"/>
      <w:r w:rsidRPr="004B0860">
        <w:rPr>
          <w:rFonts w:eastAsia="TimesNewRomanPSMT"/>
          <w:color w:val="auto"/>
        </w:rPr>
        <w:t>Теоретическое пояснение</w:t>
      </w:r>
      <w:bookmarkEnd w:id="15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Реинжиниринг бизнес-процессов (РБП) – это фундаментальное пер</w:t>
      </w:r>
      <w:proofErr w:type="gramStart"/>
      <w:r w:rsidRPr="004B0860">
        <w:rPr>
          <w:rFonts w:eastAsia="TimesNewRomanPSMT"/>
        </w:rPr>
        <w:t>е-</w:t>
      </w:r>
      <w:proofErr w:type="gramEnd"/>
      <w:r w:rsidRPr="004B0860">
        <w:rPr>
          <w:rFonts w:eastAsia="TimesNewRomanPSMT"/>
        </w:rPr>
        <w:t xml:space="preserve"> осмысление процессов для достижения перелома в работе по совершенствованию управления в </w:t>
      </w:r>
      <w:r w:rsidRPr="004B0860">
        <w:rPr>
          <w:rFonts w:eastAsia="TimesNewRomanPSMT"/>
        </w:rPr>
        <w:lastRenderedPageBreak/>
        <w:t xml:space="preserve">кризисных ситуациях. Авторами РБП (по-английски BPR) являются американские исследователи М. Хаммер, Дж. </w:t>
      </w:r>
      <w:proofErr w:type="spellStart"/>
      <w:r w:rsidRPr="004B0860">
        <w:rPr>
          <w:rFonts w:eastAsia="TimesNewRomanPSMT"/>
        </w:rPr>
        <w:t>Чампи</w:t>
      </w:r>
      <w:proofErr w:type="spellEnd"/>
      <w:r w:rsidRPr="004B0860">
        <w:rPr>
          <w:rFonts w:eastAsia="TimesNewRomanPSMT"/>
        </w:rPr>
        <w:t>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процессе проведения РБП выделяют 4 фазы: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планирование;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перестроение (перепроектирование);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преобразование;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внедрение.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РБП отмечают 4 основные группы действий: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уничтожить;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упростить;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объединить;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автоматизировать.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Особенность метода построения карты процесса − это использование двух осей, определяющих эту карту в двумерном пространстве. По одной формируется перечень действий, по другой оси устанавливают документы, исполнителей, вход и выход процесса.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Карта процесса является наиболее показательной в зрительном отношении методом отображения процесса, пригодным в реинжиниринге. С помощью карты процесса можно определить действия или этапы, которые не добавляют ценности результату процесса, и выявить значимые действия, которые совершаются неправильно или неэффективно.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Анализ процесса проводится в несколько этапов: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есть» - схематизация существующего процесса;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должно быть» - определение уровня исполнения, которого предприятие может достичь без использования дополнительных инвестиций;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могло бы быть» - определение уровня исполнения, которого предприятие может достичь при дополнительном вложении значительных ресурсов.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Порядок составления карты процесса для целей и анализа: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собирают информацию об описываемом процессе. Такая информация может быть получена из документации и интервью с исполнителями и руководителями. Вся полученная информация относится к ситуации «как есть»;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определяются место процесса в сети процессов организации. Уточняется название, формулируются цели;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 начало процесса и его окончание;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записывают все действия (события). Рекомендуется использовать карточки или наклейки;</w:t>
      </w:r>
    </w:p>
    <w:p w:rsidR="004B0860" w:rsidRPr="004B0860" w:rsidRDefault="004B0860" w:rsidP="004B0860">
      <w:pPr>
        <w:ind w:left="-709" w:firstLine="754"/>
        <w:jc w:val="both"/>
        <w:rPr>
          <w:rFonts w:eastAsia="TimesNewRomanPSMT"/>
        </w:rPr>
      </w:pP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заполняют все карточки;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расчерчивают большой лист бумаги (А3);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располагают карточки «как есть», дополняют их символами;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дополняют последовательность действий описанием;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 показатели результативности и эффективности этого процесса.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Такая процедура может работать в различных случаях, когда надо разрешать проблемы. Дальше карта применяется на этапе измерений и оценки, при стандартизации, для целей улучшения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6" w:name="_Toc94273373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6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Наименование</w:t>
      </w:r>
      <w:r w:rsidRPr="004B0860">
        <w:rPr>
          <w:rFonts w:eastAsia="TimesNewRomanPSMT"/>
          <w:i/>
        </w:rPr>
        <w:tab/>
        <w:t>процесса.</w:t>
      </w:r>
      <w:r w:rsidRPr="004B0860">
        <w:rPr>
          <w:rFonts w:eastAsia="TimesNewRomanPSMT"/>
        </w:rPr>
        <w:tab/>
        <w:t>Совершенствование процесса «Учебная практика» на основе BPR.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Описание процесса</w:t>
      </w:r>
      <w:r w:rsidRPr="004B0860">
        <w:rPr>
          <w:rFonts w:eastAsia="TimesNewRomanPSMT"/>
        </w:rPr>
        <w:t>. Совокупность установленных стандартов и операций, используемых для выполнения заданий руководителя практики в соответствии с требованиями проектной и технологической документации. Цель процесса. Произвести работу и составить отчет по учебной практике в установленные сроки в соответствии с проектной и технологической документацией.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Вход процесса</w:t>
      </w:r>
      <w:r w:rsidRPr="004B0860">
        <w:rPr>
          <w:rFonts w:eastAsia="TimesNewRomanPSMT"/>
        </w:rPr>
        <w:t>. Проектная и технологическая документация, задания руководителя.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lastRenderedPageBreak/>
        <w:t>Выход процесса</w:t>
      </w:r>
      <w:r w:rsidRPr="004B0860">
        <w:rPr>
          <w:rFonts w:eastAsia="TimesNewRomanPSMT"/>
        </w:rPr>
        <w:t>. Отчет по учебной практике.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Действующие лица</w:t>
      </w:r>
      <w:r w:rsidRPr="004B0860">
        <w:rPr>
          <w:rFonts w:eastAsia="TimesNewRomanPSMT"/>
        </w:rPr>
        <w:t>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министерство образования;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заведующий кафедрой;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учебный отдел;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руководитель практики;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студенты.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Рекомендации</w:t>
      </w:r>
      <w:r w:rsidRPr="004B0860">
        <w:rPr>
          <w:rFonts w:eastAsia="TimesNewRomanPSMT"/>
        </w:rPr>
        <w:t xml:space="preserve"> по построению процесса «Как должно быть»: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Этап анализа процесса «Как должно быть» можно построить, соблюдая временные рамки прохождения учебной практики, с учетом перерывов, обеспечивая студентов базовыми знаниями в области компьютерных программ, используемых для прохождения практики. Тем самым студент может достичь определенного уровня выполнения учебной практики при условии, что не потребуется дополнительного времени. Идея заключается в определении уровня развития процесса, которого организация может достичь при вложении значительных дополнительных ресурсов и инвестиций. Основа этого уровня – электронные материалы, ведение командной работы, использование достоверных источников информации, необходимого оборудования, методов работы.</w:t>
      </w:r>
    </w:p>
    <w:p w:rsidR="004B0860" w:rsidRPr="004B0860" w:rsidRDefault="004B0860" w:rsidP="004B0860">
      <w:pPr>
        <w:jc w:val="both"/>
        <w:rPr>
          <w:rFonts w:eastAsia="TimesNewRomanPSMT"/>
        </w:rPr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2276475"/>
            <wp:effectExtent l="0" t="0" r="0" b="9525"/>
            <wp:docPr id="2" name="Рисунок 2" descr="!!!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!!!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1714500"/>
            <wp:effectExtent l="0" t="0" r="0" b="0"/>
            <wp:docPr id="1" name="Рисунок 1" descr="!!!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!!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3A77AC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3A77AC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7</w:t>
      </w:r>
      <w:r w:rsidR="003A77AC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Описание процесса «как есть»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proofErr w:type="gramStart"/>
      <w:r w:rsidRPr="004B0860">
        <w:rPr>
          <w:rFonts w:eastAsia="TimesNewRomanPSMT"/>
        </w:rPr>
        <w:t>Для реконструкции текущей ситуации с учебной практикой используется следующий прием РБП: «объединить» людей, потребителей, поставщиков, задания на работу (объединив действия заведующего кафедрой и учебного отдела, можно уменьшить количество времени перед началом учебной практики.</w:t>
      </w:r>
      <w:proofErr w:type="gramEnd"/>
      <w:r w:rsidRPr="004B0860">
        <w:rPr>
          <w:rFonts w:eastAsia="TimesNewRomanPSMT"/>
        </w:rPr>
        <w:t xml:space="preserve"> </w:t>
      </w:r>
      <w:proofErr w:type="gramStart"/>
      <w:r w:rsidRPr="004B0860">
        <w:rPr>
          <w:rFonts w:eastAsia="TimesNewRomanPSMT"/>
        </w:rPr>
        <w:t>За оба действия может отвечать заведующий кафедрой).</w:t>
      </w:r>
      <w:proofErr w:type="gramEnd"/>
      <w:r w:rsidRPr="004B0860">
        <w:rPr>
          <w:rFonts w:eastAsia="TimesNewRomanPSMT"/>
        </w:rPr>
        <w:t xml:space="preserve"> На схеме «Как есть», где за действие «Назначение руководителя учебной практики» отвечает заведующий кафедрой, а за действие «Определение часов и места проведения учебной практики» – учебный отдел (</w:t>
      </w:r>
      <w:proofErr w:type="gramStart"/>
      <w:r w:rsidRPr="004B0860">
        <w:rPr>
          <w:rFonts w:eastAsia="TimesNewRomanPSMT"/>
        </w:rPr>
        <w:t>см</w:t>
      </w:r>
      <w:proofErr w:type="gramEnd"/>
      <w:r w:rsidRPr="004B0860">
        <w:rPr>
          <w:rFonts w:eastAsia="TimesNewRomanPSMT"/>
        </w:rPr>
        <w:t>. рис. 7). На этом этапе можно уменьшить количество времени перед началом учебной практики.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F429B4" w:rsidRPr="004B0860" w:rsidRDefault="00CB6AE7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 </w:t>
      </w:r>
      <w:r w:rsidR="00F429B4" w:rsidRPr="004B0860">
        <w:rPr>
          <w:b/>
          <w:bCs/>
          <w:sz w:val="22"/>
          <w:szCs w:val="22"/>
          <w:lang w:eastAsia="ru-RU"/>
        </w:rPr>
        <w:t>РЕКОМЕНДАЦИИ ПО ПОДГОТОВКЕ ДОКЛАДОВ</w:t>
      </w:r>
    </w:p>
    <w:p w:rsidR="00F429B4" w:rsidRPr="004B0860" w:rsidRDefault="00F429B4" w:rsidP="00F429B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F429B4" w:rsidRPr="004B0860" w:rsidRDefault="00F429B4" w:rsidP="00F429B4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b/>
          <w:i/>
          <w:sz w:val="22"/>
          <w:szCs w:val="22"/>
        </w:rPr>
        <w:t>Доклад</w:t>
      </w:r>
      <w:r w:rsidRPr="004B0860">
        <w:rPr>
          <w:rFonts w:ascii="Times New Roman" w:hAnsi="Times New Roman" w:cs="Times New Roman"/>
          <w:sz w:val="22"/>
          <w:szCs w:val="22"/>
        </w:rPr>
        <w:t xml:space="preserve">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</w:t>
      </w:r>
      <w:proofErr w:type="gramStart"/>
      <w:r w:rsidRPr="004B0860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B0860">
        <w:rPr>
          <w:rFonts w:ascii="Times New Roman" w:hAnsi="Times New Roman" w:cs="Times New Roman"/>
          <w:sz w:val="22"/>
          <w:szCs w:val="22"/>
        </w:rPr>
        <w:t xml:space="preserve">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формирование навыков самостоятельной работы, работы с источниками литературы, их систематизация;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логического мышления;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>углубление теоретических знаний по проблеме исследования;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публичного выступления, умения уверенно использовать научной терминологией.  </w:t>
      </w:r>
    </w:p>
    <w:p w:rsidR="00F429B4" w:rsidRPr="004B0860" w:rsidRDefault="00F429B4" w:rsidP="004B0860">
      <w:pPr>
        <w:pStyle w:val="FR2"/>
        <w:spacing w:line="240" w:lineRule="auto"/>
        <w:ind w:firstLine="720"/>
        <w:rPr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</w:t>
      </w:r>
    </w:p>
    <w:p w:rsidR="00F429B4" w:rsidRPr="004B0860" w:rsidRDefault="004B0860" w:rsidP="004B0860">
      <w:pPr>
        <w:pStyle w:val="Style23"/>
        <w:ind w:firstLine="709"/>
        <w:jc w:val="both"/>
        <w:rPr>
          <w:b/>
          <w:i/>
          <w:sz w:val="22"/>
          <w:szCs w:val="22"/>
        </w:rPr>
      </w:pPr>
      <w:r w:rsidRPr="004B0860">
        <w:rPr>
          <w:b/>
          <w:i/>
          <w:sz w:val="22"/>
          <w:szCs w:val="22"/>
        </w:rPr>
        <w:t>Примерные темы докладов: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Стратегии диверсифицированного предприятия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Корпоративная стратегия промышленного</w:t>
      </w:r>
      <w:r>
        <w:rPr>
          <w:sz w:val="22"/>
          <w:szCs w:val="22"/>
        </w:rPr>
        <w:t xml:space="preserve"> </w:t>
      </w:r>
      <w:r w:rsidRPr="004B0860">
        <w:rPr>
          <w:sz w:val="22"/>
          <w:szCs w:val="22"/>
        </w:rPr>
        <w:t xml:space="preserve">предприятия 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Коммерческая эффективность корпоративной</w:t>
      </w:r>
      <w:r>
        <w:rPr>
          <w:sz w:val="22"/>
          <w:szCs w:val="22"/>
        </w:rPr>
        <w:t xml:space="preserve"> </w:t>
      </w:r>
      <w:r w:rsidRPr="004B0860">
        <w:rPr>
          <w:sz w:val="22"/>
          <w:szCs w:val="22"/>
        </w:rPr>
        <w:t>стратегии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Бизнес-процессы инноваций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Управление производственными процессами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Управление логистическими бизнес-процессами на предприятии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proofErr w:type="gramStart"/>
      <w:r>
        <w:t>Современные логистические бизнес-концепции как инструмент эффективного внутрифирменного управления</w:t>
      </w:r>
      <w:proofErr w:type="gramEnd"/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Спектр ресурсов организации и место интеллектуального капитала в корпоративном управлении</w:t>
      </w:r>
    </w:p>
    <w:p w:rsidR="004B0860" w:rsidRP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>
        <w:t>Бизнес-процесс финансового менеджмента на промышленном предприятии</w:t>
      </w:r>
    </w:p>
    <w:sectPr w:rsidR="004B0860" w:rsidRPr="004B0860" w:rsidSect="00D76B6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E4" w:rsidRDefault="000E31E4" w:rsidP="00D76B6C">
      <w:r>
        <w:separator/>
      </w:r>
    </w:p>
  </w:endnote>
  <w:endnote w:type="continuationSeparator" w:id="0">
    <w:p w:rsidR="000E31E4" w:rsidRDefault="000E31E4" w:rsidP="00D7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741941"/>
      <w:docPartObj>
        <w:docPartGallery w:val="Page Numbers (Bottom of Page)"/>
        <w:docPartUnique/>
      </w:docPartObj>
    </w:sdtPr>
    <w:sdtContent>
      <w:p w:rsidR="0082778F" w:rsidRDefault="003A77AC">
        <w:pPr>
          <w:pStyle w:val="aa"/>
          <w:jc w:val="center"/>
        </w:pPr>
        <w:r>
          <w:fldChar w:fldCharType="begin"/>
        </w:r>
        <w:r w:rsidR="0082778F">
          <w:instrText>PAGE   \* MERGEFORMAT</w:instrText>
        </w:r>
        <w:r>
          <w:fldChar w:fldCharType="separate"/>
        </w:r>
        <w:r w:rsidR="00D4664B">
          <w:rPr>
            <w:noProof/>
          </w:rPr>
          <w:t>13</w:t>
        </w:r>
        <w:r>
          <w:fldChar w:fldCharType="end"/>
        </w:r>
      </w:p>
    </w:sdtContent>
  </w:sdt>
  <w:p w:rsidR="0082778F" w:rsidRDefault="008277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E4" w:rsidRDefault="000E31E4" w:rsidP="00D76B6C">
      <w:r>
        <w:separator/>
      </w:r>
    </w:p>
  </w:footnote>
  <w:footnote w:type="continuationSeparator" w:id="0">
    <w:p w:rsidR="000E31E4" w:rsidRDefault="000E31E4" w:rsidP="00D7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1C62F5F"/>
    <w:multiLevelType w:val="hybridMultilevel"/>
    <w:tmpl w:val="0C36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9286A"/>
    <w:multiLevelType w:val="multilevel"/>
    <w:tmpl w:val="48C6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600B"/>
    <w:multiLevelType w:val="hybridMultilevel"/>
    <w:tmpl w:val="8FF636D0"/>
    <w:lvl w:ilvl="0" w:tplc="EF0C4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71243E5"/>
    <w:multiLevelType w:val="multilevel"/>
    <w:tmpl w:val="C57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B6648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5D0C98"/>
    <w:multiLevelType w:val="hybridMultilevel"/>
    <w:tmpl w:val="972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2073"/>
    <w:multiLevelType w:val="multilevel"/>
    <w:tmpl w:val="2E78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3FD2"/>
    <w:multiLevelType w:val="hybridMultilevel"/>
    <w:tmpl w:val="45E6D7EC"/>
    <w:lvl w:ilvl="0" w:tplc="CC34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0141"/>
    <w:multiLevelType w:val="hybridMultilevel"/>
    <w:tmpl w:val="56AC5D76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284479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702C17"/>
    <w:multiLevelType w:val="multilevel"/>
    <w:tmpl w:val="AABA15F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>
    <w:nsid w:val="241E3FF0"/>
    <w:multiLevelType w:val="multilevel"/>
    <w:tmpl w:val="1EA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40995"/>
    <w:multiLevelType w:val="hybridMultilevel"/>
    <w:tmpl w:val="CC02F508"/>
    <w:lvl w:ilvl="0" w:tplc="7BB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74BCE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5">
    <w:nsid w:val="2A4E1CF0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4E3A4A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46134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711FE4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>
    <w:nsid w:val="3936078D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F53EB"/>
    <w:multiLevelType w:val="multilevel"/>
    <w:tmpl w:val="6208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E06E4"/>
    <w:multiLevelType w:val="hybridMultilevel"/>
    <w:tmpl w:val="AA7A910A"/>
    <w:lvl w:ilvl="0" w:tplc="DD50F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D4626"/>
    <w:multiLevelType w:val="hybridMultilevel"/>
    <w:tmpl w:val="BD248A3A"/>
    <w:lvl w:ilvl="0" w:tplc="0000002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24DF"/>
    <w:multiLevelType w:val="multilevel"/>
    <w:tmpl w:val="51523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A3258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960A4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6473C"/>
    <w:multiLevelType w:val="hybridMultilevel"/>
    <w:tmpl w:val="931E6142"/>
    <w:lvl w:ilvl="0" w:tplc="3F8C60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EA7C82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8">
    <w:nsid w:val="5E731F5D"/>
    <w:multiLevelType w:val="hybridMultilevel"/>
    <w:tmpl w:val="E632AE90"/>
    <w:lvl w:ilvl="0" w:tplc="DD50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24F4CC7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3142C"/>
    <w:multiLevelType w:val="multilevel"/>
    <w:tmpl w:val="279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C74B4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678EA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1"/>
  </w:num>
  <w:num w:numId="5">
    <w:abstractNumId w:val="28"/>
  </w:num>
  <w:num w:numId="6">
    <w:abstractNumId w:val="14"/>
  </w:num>
  <w:num w:numId="7">
    <w:abstractNumId w:val="32"/>
  </w:num>
  <w:num w:numId="8">
    <w:abstractNumId w:val="10"/>
  </w:num>
  <w:num w:numId="9">
    <w:abstractNumId w:val="27"/>
  </w:num>
  <w:num w:numId="10">
    <w:abstractNumId w:val="18"/>
  </w:num>
  <w:num w:numId="11">
    <w:abstractNumId w:val="11"/>
  </w:num>
  <w:num w:numId="12">
    <w:abstractNumId w:val="15"/>
  </w:num>
  <w:num w:numId="13">
    <w:abstractNumId w:val="5"/>
  </w:num>
  <w:num w:numId="14">
    <w:abstractNumId w:val="17"/>
  </w:num>
  <w:num w:numId="15">
    <w:abstractNumId w:val="12"/>
  </w:num>
  <w:num w:numId="16">
    <w:abstractNumId w:val="22"/>
  </w:num>
  <w:num w:numId="17">
    <w:abstractNumId w:val="7"/>
  </w:num>
  <w:num w:numId="18">
    <w:abstractNumId w:val="16"/>
  </w:num>
  <w:num w:numId="19">
    <w:abstractNumId w:val="4"/>
  </w:num>
  <w:num w:numId="20">
    <w:abstractNumId w:val="25"/>
  </w:num>
  <w:num w:numId="21">
    <w:abstractNumId w:val="29"/>
  </w:num>
  <w:num w:numId="22">
    <w:abstractNumId w:val="24"/>
  </w:num>
  <w:num w:numId="23">
    <w:abstractNumId w:val="31"/>
  </w:num>
  <w:num w:numId="24">
    <w:abstractNumId w:val="20"/>
  </w:num>
  <w:num w:numId="25">
    <w:abstractNumId w:val="19"/>
  </w:num>
  <w:num w:numId="26">
    <w:abstractNumId w:val="30"/>
  </w:num>
  <w:num w:numId="27">
    <w:abstractNumId w:val="2"/>
  </w:num>
  <w:num w:numId="28">
    <w:abstractNumId w:val="23"/>
  </w:num>
  <w:num w:numId="29">
    <w:abstractNumId w:val="13"/>
  </w:num>
  <w:num w:numId="30">
    <w:abstractNumId w:val="3"/>
  </w:num>
  <w:num w:numId="31">
    <w:abstractNumId w:val="26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B4"/>
    <w:rsid w:val="00046754"/>
    <w:rsid w:val="000D4C80"/>
    <w:rsid w:val="000E31E4"/>
    <w:rsid w:val="00157FDF"/>
    <w:rsid w:val="002B0C69"/>
    <w:rsid w:val="003152D6"/>
    <w:rsid w:val="003561C7"/>
    <w:rsid w:val="0037110F"/>
    <w:rsid w:val="003A5F6A"/>
    <w:rsid w:val="003A77AC"/>
    <w:rsid w:val="003C328E"/>
    <w:rsid w:val="004101C4"/>
    <w:rsid w:val="00413F4C"/>
    <w:rsid w:val="004B0860"/>
    <w:rsid w:val="00565CA3"/>
    <w:rsid w:val="006128EA"/>
    <w:rsid w:val="0063531C"/>
    <w:rsid w:val="00673539"/>
    <w:rsid w:val="00726468"/>
    <w:rsid w:val="0082778F"/>
    <w:rsid w:val="008750D0"/>
    <w:rsid w:val="00936B2A"/>
    <w:rsid w:val="00971D6E"/>
    <w:rsid w:val="009F0EB3"/>
    <w:rsid w:val="00A80E0C"/>
    <w:rsid w:val="00B12FAC"/>
    <w:rsid w:val="00B46314"/>
    <w:rsid w:val="00BB11D0"/>
    <w:rsid w:val="00BB1312"/>
    <w:rsid w:val="00BB34CB"/>
    <w:rsid w:val="00BB3C29"/>
    <w:rsid w:val="00BF16DD"/>
    <w:rsid w:val="00CB6AE7"/>
    <w:rsid w:val="00D4664B"/>
    <w:rsid w:val="00D76B6C"/>
    <w:rsid w:val="00DF52C9"/>
    <w:rsid w:val="00E953F6"/>
    <w:rsid w:val="00EB7125"/>
    <w:rsid w:val="00F429B4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2022-12-14T07:32:00Z</dcterms:created>
  <dcterms:modified xsi:type="dcterms:W3CDTF">2023-10-01T10:39:00Z</dcterms:modified>
</cp:coreProperties>
</file>