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C55083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 xml:space="preserve">«РЯЗАНСКИЙ ГОСУДАРСТВЕННЫЙ РАДИОТЕХНИЧЕСКИЙ УНИВЕРСИТЕТ ИМЕНИ 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C5508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C55083">
        <w:rPr>
          <w:b/>
          <w:bCs/>
          <w:color w:val="000000"/>
          <w:sz w:val="32"/>
          <w:szCs w:val="32"/>
        </w:rPr>
        <w:t>ОЦЕНОЧНЫЕ МАТЕРИАЛЫ ДИСЦИПЛИНЫ</w:t>
      </w:r>
      <w:bookmarkStart w:id="0" w:name="_GoBack"/>
      <w:bookmarkEnd w:id="0"/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6"/>
        <w:gridCol w:w="342"/>
        <w:gridCol w:w="342"/>
        <w:gridCol w:w="36"/>
        <w:gridCol w:w="70"/>
        <w:gridCol w:w="133"/>
        <w:gridCol w:w="331"/>
        <w:gridCol w:w="11"/>
        <w:gridCol w:w="56"/>
        <w:gridCol w:w="129"/>
        <w:gridCol w:w="391"/>
        <w:gridCol w:w="398"/>
        <w:gridCol w:w="139"/>
        <w:gridCol w:w="545"/>
        <w:gridCol w:w="5314"/>
      </w:tblGrid>
      <w:tr w:rsidR="00431B8F" w:rsidTr="005B27E4">
        <w:trPr>
          <w:trHeight w:hRule="exact" w:val="496"/>
        </w:trPr>
        <w:tc>
          <w:tcPr>
            <w:tcW w:w="22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431B8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69" w:type="dxa"/>
            <w:gridSpan w:val="2"/>
          </w:tcPr>
          <w:p w:rsidR="00431B8F" w:rsidRDefault="00431B8F" w:rsidP="00642AA1"/>
        </w:tc>
        <w:tc>
          <w:tcPr>
            <w:tcW w:w="134" w:type="dxa"/>
          </w:tcPr>
          <w:p w:rsidR="00431B8F" w:rsidRDefault="00431B8F" w:rsidP="00642AA1"/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642AA1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431B8F" w:rsidTr="005B27E4">
        <w:trPr>
          <w:gridAfter w:val="2"/>
          <w:wAfter w:w="6035" w:type="dxa"/>
          <w:trHeight w:hRule="exact" w:val="138"/>
        </w:trPr>
        <w:tc>
          <w:tcPr>
            <w:tcW w:w="937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642AA1"/>
        </w:tc>
        <w:tc>
          <w:tcPr>
            <w:tcW w:w="37" w:type="dxa"/>
          </w:tcPr>
          <w:p w:rsidR="00431B8F" w:rsidRDefault="00431B8F" w:rsidP="00642AA1"/>
        </w:tc>
        <w:tc>
          <w:tcPr>
            <w:tcW w:w="72" w:type="dxa"/>
          </w:tcPr>
          <w:p w:rsidR="00431B8F" w:rsidRDefault="00431B8F" w:rsidP="003C58C7"/>
        </w:tc>
        <w:tc>
          <w:tcPr>
            <w:tcW w:w="138" w:type="dxa"/>
          </w:tcPr>
          <w:p w:rsidR="00431B8F" w:rsidRDefault="00431B8F" w:rsidP="003C58C7"/>
        </w:tc>
        <w:tc>
          <w:tcPr>
            <w:tcW w:w="355" w:type="dxa"/>
            <w:gridSpan w:val="2"/>
          </w:tcPr>
          <w:p w:rsidR="00431B8F" w:rsidRDefault="00431B8F" w:rsidP="003C58C7"/>
        </w:tc>
        <w:tc>
          <w:tcPr>
            <w:tcW w:w="592" w:type="dxa"/>
            <w:gridSpan w:val="3"/>
          </w:tcPr>
          <w:p w:rsidR="00431B8F" w:rsidRDefault="00431B8F" w:rsidP="003C58C7"/>
        </w:tc>
        <w:tc>
          <w:tcPr>
            <w:tcW w:w="407" w:type="dxa"/>
          </w:tcPr>
          <w:p w:rsidR="00431B8F" w:rsidRDefault="00431B8F" w:rsidP="003C58C7"/>
        </w:tc>
        <w:tc>
          <w:tcPr>
            <w:tcW w:w="140" w:type="dxa"/>
          </w:tcPr>
          <w:p w:rsidR="00431B8F" w:rsidRDefault="00431B8F" w:rsidP="003C58C7"/>
        </w:tc>
      </w:tr>
      <w:tr w:rsidR="00431B8F" w:rsidTr="005B27E4">
        <w:trPr>
          <w:trHeight w:hRule="exact" w:val="501"/>
        </w:trPr>
        <w:tc>
          <w:tcPr>
            <w:tcW w:w="24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431B8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698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1B8F" w:rsidRPr="00037121" w:rsidRDefault="00431B8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09.05.01_2</w:t>
            </w:r>
            <w:r w:rsidR="00E219A8">
              <w:rPr>
                <w:color w:val="000000"/>
                <w:sz w:val="19"/>
                <w:szCs w:val="19"/>
              </w:rPr>
              <w:t>2</w:t>
            </w:r>
            <w:r w:rsidRPr="00037121">
              <w:rPr>
                <w:color w:val="000000"/>
                <w:sz w:val="19"/>
                <w:szCs w:val="19"/>
              </w:rPr>
              <w:t>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431B8F" w:rsidRPr="00037121" w:rsidRDefault="00431B8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431B8F" w:rsidTr="005B27E4">
        <w:trPr>
          <w:gridAfter w:val="1"/>
          <w:wAfter w:w="5476" w:type="dxa"/>
          <w:trHeight w:hRule="exact" w:val="176"/>
        </w:trPr>
        <w:tc>
          <w:tcPr>
            <w:tcW w:w="937" w:type="dxa"/>
          </w:tcPr>
          <w:p w:rsidR="00431B8F" w:rsidRPr="00037121" w:rsidRDefault="00431B8F" w:rsidP="00642AA1"/>
        </w:tc>
        <w:tc>
          <w:tcPr>
            <w:tcW w:w="355" w:type="dxa"/>
          </w:tcPr>
          <w:p w:rsidR="00431B8F" w:rsidRPr="00037121" w:rsidRDefault="00431B8F" w:rsidP="00642AA1"/>
        </w:tc>
        <w:tc>
          <w:tcPr>
            <w:tcW w:w="355" w:type="dxa"/>
          </w:tcPr>
          <w:p w:rsidR="00431B8F" w:rsidRPr="00037121" w:rsidRDefault="00431B8F" w:rsidP="00642AA1"/>
        </w:tc>
        <w:tc>
          <w:tcPr>
            <w:tcW w:w="37" w:type="dxa"/>
          </w:tcPr>
          <w:p w:rsidR="00431B8F" w:rsidRPr="00037121" w:rsidRDefault="00431B8F" w:rsidP="00642AA1"/>
        </w:tc>
        <w:tc>
          <w:tcPr>
            <w:tcW w:w="72" w:type="dxa"/>
          </w:tcPr>
          <w:p w:rsidR="00431B8F" w:rsidRDefault="00431B8F" w:rsidP="003C58C7"/>
        </w:tc>
        <w:tc>
          <w:tcPr>
            <w:tcW w:w="138" w:type="dxa"/>
          </w:tcPr>
          <w:p w:rsidR="00431B8F" w:rsidRDefault="00431B8F" w:rsidP="003C58C7"/>
        </w:tc>
        <w:tc>
          <w:tcPr>
            <w:tcW w:w="2053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3C58C7"/>
        </w:tc>
      </w:tr>
      <w:tr w:rsidR="00431B8F" w:rsidTr="005B27E4">
        <w:trPr>
          <w:gridAfter w:val="2"/>
          <w:wAfter w:w="6035" w:type="dxa"/>
          <w:trHeight w:hRule="exact" w:val="284"/>
        </w:trPr>
        <w:tc>
          <w:tcPr>
            <w:tcW w:w="937" w:type="dxa"/>
          </w:tcPr>
          <w:p w:rsidR="00431B8F" w:rsidRDefault="00431B8F" w:rsidP="00431B8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355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AF1C6C"/>
        </w:tc>
        <w:tc>
          <w:tcPr>
            <w:tcW w:w="37" w:type="dxa"/>
          </w:tcPr>
          <w:p w:rsidR="00431B8F" w:rsidRDefault="00431B8F" w:rsidP="00AF1C6C"/>
        </w:tc>
        <w:tc>
          <w:tcPr>
            <w:tcW w:w="72" w:type="dxa"/>
          </w:tcPr>
          <w:p w:rsidR="00431B8F" w:rsidRDefault="00431B8F" w:rsidP="003C58C7"/>
        </w:tc>
        <w:tc>
          <w:tcPr>
            <w:tcW w:w="138" w:type="dxa"/>
          </w:tcPr>
          <w:p w:rsidR="00431B8F" w:rsidRDefault="00431B8F" w:rsidP="003C58C7"/>
        </w:tc>
        <w:tc>
          <w:tcPr>
            <w:tcW w:w="355" w:type="dxa"/>
            <w:gridSpan w:val="2"/>
          </w:tcPr>
          <w:p w:rsidR="00431B8F" w:rsidRDefault="00431B8F" w:rsidP="003C58C7"/>
        </w:tc>
        <w:tc>
          <w:tcPr>
            <w:tcW w:w="592" w:type="dxa"/>
            <w:gridSpan w:val="3"/>
          </w:tcPr>
          <w:p w:rsidR="00431B8F" w:rsidRDefault="00431B8F" w:rsidP="003C58C7"/>
        </w:tc>
        <w:tc>
          <w:tcPr>
            <w:tcW w:w="407" w:type="dxa"/>
          </w:tcPr>
          <w:p w:rsidR="00431B8F" w:rsidRDefault="00431B8F" w:rsidP="003C58C7"/>
        </w:tc>
        <w:tc>
          <w:tcPr>
            <w:tcW w:w="140" w:type="dxa"/>
          </w:tcPr>
          <w:p w:rsidR="00431B8F" w:rsidRDefault="00431B8F" w:rsidP="003C58C7"/>
        </w:tc>
      </w:tr>
      <w:tr w:rsidR="00431B8F" w:rsidTr="005B27E4">
        <w:trPr>
          <w:trHeight w:hRule="exact" w:val="277"/>
        </w:trPr>
        <w:tc>
          <w:tcPr>
            <w:tcW w:w="24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642AA1"/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431B8F" w:rsidTr="005B27E4">
        <w:trPr>
          <w:gridAfter w:val="2"/>
          <w:wAfter w:w="6035" w:type="dxa"/>
          <w:trHeight w:hRule="exact" w:val="138"/>
        </w:trPr>
        <w:tc>
          <w:tcPr>
            <w:tcW w:w="937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642AA1"/>
        </w:tc>
        <w:tc>
          <w:tcPr>
            <w:tcW w:w="37" w:type="dxa"/>
          </w:tcPr>
          <w:p w:rsidR="00431B8F" w:rsidRDefault="00431B8F" w:rsidP="00642AA1"/>
        </w:tc>
        <w:tc>
          <w:tcPr>
            <w:tcW w:w="72" w:type="dxa"/>
          </w:tcPr>
          <w:p w:rsidR="00431B8F" w:rsidRDefault="00431B8F" w:rsidP="003C58C7"/>
        </w:tc>
        <w:tc>
          <w:tcPr>
            <w:tcW w:w="138" w:type="dxa"/>
          </w:tcPr>
          <w:p w:rsidR="00431B8F" w:rsidRDefault="00431B8F" w:rsidP="003C58C7"/>
        </w:tc>
        <w:tc>
          <w:tcPr>
            <w:tcW w:w="355" w:type="dxa"/>
            <w:gridSpan w:val="2"/>
          </w:tcPr>
          <w:p w:rsidR="00431B8F" w:rsidRDefault="00431B8F" w:rsidP="003C58C7"/>
        </w:tc>
        <w:tc>
          <w:tcPr>
            <w:tcW w:w="592" w:type="dxa"/>
            <w:gridSpan w:val="3"/>
          </w:tcPr>
          <w:p w:rsidR="00431B8F" w:rsidRDefault="00431B8F" w:rsidP="003C58C7"/>
        </w:tc>
        <w:tc>
          <w:tcPr>
            <w:tcW w:w="407" w:type="dxa"/>
          </w:tcPr>
          <w:p w:rsidR="00431B8F" w:rsidRDefault="00431B8F" w:rsidP="003C58C7"/>
        </w:tc>
        <w:tc>
          <w:tcPr>
            <w:tcW w:w="140" w:type="dxa"/>
          </w:tcPr>
          <w:p w:rsidR="00431B8F" w:rsidRDefault="00431B8F" w:rsidP="003C58C7"/>
        </w:tc>
      </w:tr>
      <w:tr w:rsidR="00431B8F" w:rsidTr="005B27E4">
        <w:trPr>
          <w:trHeight w:hRule="exact" w:val="277"/>
        </w:trPr>
        <w:tc>
          <w:tcPr>
            <w:tcW w:w="24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431B8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431B8F" w:rsidTr="005B27E4">
        <w:trPr>
          <w:gridAfter w:val="2"/>
          <w:wAfter w:w="6035" w:type="dxa"/>
          <w:trHeight w:hRule="exact" w:val="315"/>
        </w:trPr>
        <w:tc>
          <w:tcPr>
            <w:tcW w:w="937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642AA1"/>
        </w:tc>
        <w:tc>
          <w:tcPr>
            <w:tcW w:w="355" w:type="dxa"/>
          </w:tcPr>
          <w:p w:rsidR="00431B8F" w:rsidRDefault="00431B8F" w:rsidP="00642AA1"/>
        </w:tc>
        <w:tc>
          <w:tcPr>
            <w:tcW w:w="37" w:type="dxa"/>
          </w:tcPr>
          <w:p w:rsidR="00431B8F" w:rsidRDefault="00431B8F" w:rsidP="00642AA1"/>
        </w:tc>
        <w:tc>
          <w:tcPr>
            <w:tcW w:w="72" w:type="dxa"/>
          </w:tcPr>
          <w:p w:rsidR="00431B8F" w:rsidRDefault="00431B8F" w:rsidP="003C58C7"/>
        </w:tc>
        <w:tc>
          <w:tcPr>
            <w:tcW w:w="138" w:type="dxa"/>
          </w:tcPr>
          <w:p w:rsidR="00431B8F" w:rsidRDefault="00431B8F" w:rsidP="003C58C7"/>
        </w:tc>
        <w:tc>
          <w:tcPr>
            <w:tcW w:w="355" w:type="dxa"/>
            <w:gridSpan w:val="2"/>
          </w:tcPr>
          <w:p w:rsidR="00431B8F" w:rsidRDefault="00431B8F" w:rsidP="003C58C7"/>
        </w:tc>
        <w:tc>
          <w:tcPr>
            <w:tcW w:w="592" w:type="dxa"/>
            <w:gridSpan w:val="3"/>
          </w:tcPr>
          <w:p w:rsidR="00431B8F" w:rsidRDefault="00431B8F" w:rsidP="003C58C7"/>
        </w:tc>
        <w:tc>
          <w:tcPr>
            <w:tcW w:w="407" w:type="dxa"/>
          </w:tcPr>
          <w:p w:rsidR="00431B8F" w:rsidRDefault="00431B8F" w:rsidP="003C58C7"/>
        </w:tc>
        <w:tc>
          <w:tcPr>
            <w:tcW w:w="140" w:type="dxa"/>
          </w:tcPr>
          <w:p w:rsidR="00431B8F" w:rsidRDefault="00431B8F" w:rsidP="003C58C7"/>
        </w:tc>
      </w:tr>
      <w:tr w:rsidR="00431B8F" w:rsidTr="005B27E4">
        <w:trPr>
          <w:gridAfter w:val="1"/>
          <w:wAfter w:w="5476" w:type="dxa"/>
          <w:trHeight w:hRule="exact" w:val="277"/>
        </w:trPr>
        <w:tc>
          <w:tcPr>
            <w:tcW w:w="230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431B8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4" w:type="dxa"/>
          </w:tcPr>
          <w:p w:rsidR="00431B8F" w:rsidRDefault="00431B8F" w:rsidP="00642AA1"/>
        </w:tc>
        <w:tc>
          <w:tcPr>
            <w:tcW w:w="15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1B8F" w:rsidRDefault="00431B8F" w:rsidP="00642AA1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3E5FC8" w:rsidRPr="00200D51" w:rsidRDefault="003E5FC8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3E5FC8">
        <w:rPr>
          <w:sz w:val="28"/>
          <w:szCs w:val="28"/>
          <w:lang w:eastAsia="ar-SA"/>
        </w:rPr>
        <w:t>20</w:t>
      </w:r>
      <w:r w:rsidR="00B67EB3">
        <w:rPr>
          <w:sz w:val="28"/>
          <w:szCs w:val="28"/>
          <w:lang w:eastAsia="ar-SA"/>
        </w:rPr>
        <w:t>2</w:t>
      </w:r>
      <w:r w:rsidR="00E219A8">
        <w:rPr>
          <w:sz w:val="28"/>
          <w:szCs w:val="28"/>
          <w:lang w:eastAsia="ar-SA"/>
        </w:rPr>
        <w:t>2</w:t>
      </w:r>
      <w:r w:rsidR="003E5FC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>». Минимальное количество 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</w:t>
      </w:r>
      <w:proofErr w:type="gramStart"/>
      <w:r w:rsidRPr="000C4EC6">
        <w:rPr>
          <w:sz w:val="22"/>
        </w:rPr>
        <w:t>физического</w:t>
      </w:r>
      <w:proofErr w:type="gramEnd"/>
      <w:r w:rsidRPr="000C4EC6">
        <w:rPr>
          <w:sz w:val="22"/>
        </w:rPr>
        <w:t xml:space="preserve"> воспитания предполагает постепенное и постоянное повышение требований к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sectPr w:rsidR="00195133" w:rsidRPr="000C4EC6" w:rsidSect="007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31F8C"/>
    <w:rsid w:val="00031F8C"/>
    <w:rsid w:val="00195133"/>
    <w:rsid w:val="001C5CA8"/>
    <w:rsid w:val="00202C8D"/>
    <w:rsid w:val="003E5FC8"/>
    <w:rsid w:val="00415BFA"/>
    <w:rsid w:val="00431B8F"/>
    <w:rsid w:val="005B27E4"/>
    <w:rsid w:val="005B78F7"/>
    <w:rsid w:val="00733A78"/>
    <w:rsid w:val="007E2256"/>
    <w:rsid w:val="007E6E8E"/>
    <w:rsid w:val="007F03BA"/>
    <w:rsid w:val="00816939"/>
    <w:rsid w:val="00823E17"/>
    <w:rsid w:val="009218FF"/>
    <w:rsid w:val="00A25397"/>
    <w:rsid w:val="00A621AC"/>
    <w:rsid w:val="00A67E66"/>
    <w:rsid w:val="00AB4F9D"/>
    <w:rsid w:val="00AF1EEF"/>
    <w:rsid w:val="00B67EB3"/>
    <w:rsid w:val="00B94C65"/>
    <w:rsid w:val="00BD4772"/>
    <w:rsid w:val="00C55083"/>
    <w:rsid w:val="00CD22C0"/>
    <w:rsid w:val="00DB4A9C"/>
    <w:rsid w:val="00E219A8"/>
    <w:rsid w:val="00F21BE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2058</Words>
  <Characters>11732</Characters>
  <Application>Microsoft Office Word</Application>
  <DocSecurity>0</DocSecurity>
  <Lines>97</Lines>
  <Paragraphs>27</Paragraphs>
  <ScaleCrop>false</ScaleCrop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17</cp:revision>
  <dcterms:created xsi:type="dcterms:W3CDTF">2023-09-13T05:40:00Z</dcterms:created>
  <dcterms:modified xsi:type="dcterms:W3CDTF">2023-09-25T07:00:00Z</dcterms:modified>
</cp:coreProperties>
</file>