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uto" w:line="240" w:before="0" w:after="0"/>
        <w:jc w:val="center"/>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МИНИСТЕРСТВО НАУКИ И ВЫСШЕГО ОБРАЗОВАНИЯ РОССИЙСКОЙ ФЕДЕРАЦИИ</w:t>
      </w:r>
    </w:p>
    <w:p>
      <w:pPr>
        <w:pStyle w:val="Normal"/>
        <w:spacing w:lineRule="auto" w:line="240" w:before="0" w:after="0"/>
        <w:ind w:left="5" w:hanging="0"/>
        <w:jc w:val="center"/>
        <w:rPr>
          <w:rFonts w:ascii="Times New Roman" w:hAnsi="Times New Roman" w:eastAsia="Times New Roman" w:cs="Times New Roman"/>
          <w:color w:val="000000"/>
          <w:sz w:val="24"/>
          <w:szCs w:val="24"/>
          <w:lang w:eastAsia="zh-CN"/>
        </w:rPr>
      </w:pPr>
      <w:r>
        <w:rPr>
          <w:rFonts w:eastAsia="Times New Roman" w:cs="Times New Roman" w:ascii="Times New Roman" w:hAnsi="Times New Roman"/>
          <w:color w:val="000000"/>
          <w:sz w:val="24"/>
          <w:szCs w:val="24"/>
          <w:lang w:eastAsia="zh-CN"/>
        </w:rPr>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ФЕДЕРАЛЬНОЕ ГОСУДАРСТВЕННОЕ БЮДЖЕТНОЕ ОБРАЗОВАТЕЛЬНОЕ</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УЧРЕЖДЕНИЕ ВЫСШЕГО ОБРАЗОВАНИЯ</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«РЯЗАНСКИЙ ГОСУДАРСТВЕННЫЙ РАДИОТЕХНИЧЕСКИЙ УНИВЕРСИТЕТ</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 xml:space="preserve"> </w:t>
      </w:r>
      <w:r>
        <w:rPr>
          <w:rFonts w:cs="Times New Roman" w:ascii="Times New Roman" w:hAnsi="Times New Roman"/>
          <w:color w:val="000000"/>
          <w:sz w:val="24"/>
          <w:szCs w:val="24"/>
          <w:lang w:eastAsia="zh-CN"/>
        </w:rPr>
        <w:t>ИМЕНИ В.Ф. УТКИНА»</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r>
    </w:p>
    <w:p>
      <w:pPr>
        <w:pStyle w:val="Normal"/>
        <w:spacing w:lineRule="auto" w:line="240" w:before="0" w:after="0"/>
        <w:ind w:left="5" w:hanging="0"/>
        <w:jc w:val="center"/>
        <w:rPr>
          <w:rFonts w:ascii="Times New Roman" w:hAnsi="Times New Roman" w:eastAsia="TimesNewRomanPSMT" w:cs="Times New Roman"/>
          <w:color w:val="000000"/>
          <w:sz w:val="24"/>
          <w:szCs w:val="24"/>
          <w:lang w:eastAsia="zh-CN"/>
        </w:rPr>
      </w:pPr>
      <w:r>
        <w:rPr>
          <w:rFonts w:eastAsia="TimesNewRomanPSMT" w:cs="Times New Roman" w:ascii="Times New Roman" w:hAnsi="Times New Roman"/>
          <w:color w:val="000000"/>
          <w:sz w:val="24"/>
          <w:szCs w:val="24"/>
          <w:lang w:eastAsia="zh-CN"/>
        </w:rPr>
        <w:t>Кафедра «Телекоммуникаций и основ радиотехники»</w:t>
      </w:r>
    </w:p>
    <w:p>
      <w:pPr>
        <w:pStyle w:val="Normal"/>
        <w:spacing w:lineRule="auto" w:line="240" w:before="0" w:after="0"/>
        <w:ind w:left="5" w:hanging="0"/>
        <w:jc w:val="center"/>
        <w:rPr>
          <w:rFonts w:ascii="Times New Roman" w:hAnsi="Times New Roman" w:eastAsia="TimesNewRomanPSMT" w:cs="Times New Roman"/>
          <w:color w:val="000000"/>
          <w:sz w:val="24"/>
          <w:szCs w:val="24"/>
          <w:lang w:eastAsia="zh-CN"/>
        </w:rPr>
      </w:pPr>
      <w:r>
        <w:rPr>
          <w:rFonts w:eastAsia="TimesNewRomanPSMT" w:cs="Times New Roman" w:ascii="Times New Roman" w:hAnsi="Times New Roman"/>
          <w:color w:val="000000"/>
          <w:sz w:val="24"/>
          <w:szCs w:val="24"/>
          <w:lang w:eastAsia="zh-CN"/>
        </w:rPr>
      </w:r>
    </w:p>
    <w:p>
      <w:pPr>
        <w:pStyle w:val="Normal"/>
        <w:spacing w:lineRule="auto" w:line="240" w:before="0" w:after="0"/>
        <w:ind w:left="5" w:hanging="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 xml:space="preserve">МЕТОДИЧЕСКОЕ ОБЕСПЕЧЕНИЕ ДИСЦИПЛИНЫ </w:t>
      </w:r>
    </w:p>
    <w:p>
      <w:pPr>
        <w:pStyle w:val="Normal"/>
        <w:suppressAutoHyphens w:val="true"/>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uppressAutoHyphens w:val="true"/>
        <w:spacing w:lineRule="auto" w:line="240" w:before="0" w:after="5"/>
        <w:ind w:left="6" w:hanging="0"/>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t>«ОСНОВЫ ТЕОРИИ ЦЕПЕЙ»</w:t>
      </w:r>
    </w:p>
    <w:p>
      <w:pPr>
        <w:pStyle w:val="Normal"/>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Направление подготовки</w:t>
      </w:r>
    </w:p>
    <w:p>
      <w:pPr>
        <w:pStyle w:val="Normal"/>
        <w:spacing w:lineRule="auto" w:line="240" w:before="0" w:after="0"/>
        <w:ind w:left="5" w:hanging="0"/>
        <w:jc w:val="center"/>
        <w:rPr>
          <w:rFonts w:ascii="Times New Roman" w:hAnsi="Times New Roman" w:eastAsia="Times New Roman" w:cs="Times New Roman"/>
          <w:color w:val="000000"/>
          <w:sz w:val="24"/>
          <w:szCs w:val="24"/>
        </w:rPr>
      </w:pPr>
      <w:r>
        <w:rPr>
          <w:rFonts w:cs="Times New Roman" w:ascii="Times New Roman" w:hAnsi="Times New Roman"/>
          <w:color w:val="000000"/>
          <w:sz w:val="24"/>
          <w:szCs w:val="24"/>
        </w:rPr>
        <w:t>11.03.01 «Радиотехника»</w:t>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Направленность (профиль) подготовки</w:t>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«Радиофотоника»</w:t>
      </w:r>
      <w:bookmarkStart w:id="0" w:name="_GoBack"/>
      <w:bookmarkEnd w:id="0"/>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Уровень подготовки</w:t>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Бакалавриат</w:t>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t>Квалификация выпускника – бакалавр</w:t>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Формы обучения – очная</w:t>
      </w:r>
    </w:p>
    <w:p>
      <w:pPr>
        <w:pStyle w:val="Normal"/>
        <w:spacing w:lineRule="auto" w:line="240" w:before="0" w:after="0"/>
        <w:ind w:left="144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sz w:val="24"/>
          <w:szCs w:val="24"/>
        </w:rPr>
        <w:t>Рязань 2021 г</w:t>
      </w:r>
      <w:r>
        <w:br w:type="page"/>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освоению дисциплины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работе над конспектом лекции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т.д.), которые использует преподаватель.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работе с литературой</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т.д.).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План – это схема прочитанного материала, перечень вопросов, отражающих структуру и последовательность материала.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Конспект – это систематизированное, логичное изложение материала источника. Различаются четыре типа конспектов: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план-конспект – это развернутый детализированный план, в котором по наиболее сложным вопросам даются подробные пояснения,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текстуальный конспект – это воспроизведение наиболее важных положений и фактов источника,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тематический конспект – составляется на основе изучения ряда источников и дает ответ по изучаемому вопросу.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подготовке к практическим занятиям</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По наиболее сложным вопросам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заблаговременное ознакомление с планом занятия;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изучение рекомендованной литературы и конспекта лекций;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подготовку полных и глубоких ответов по каждому вопросу, выносимому для обсуждения;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1.</w:t>
        <w:tab/>
        <w:t xml:space="preserve">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2.</w:t>
        <w:tab/>
        <w:t xml:space="preserve">Студенту необходимо стараться отвечать, придерживаясь пунктов плана.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3.</w:t>
        <w:tab/>
        <w:t xml:space="preserve">При устном ответе не волноваться, так как вокруг друзья, а они очень благожелательны к присутствующим.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4.</w:t>
        <w:tab/>
        <w:t xml:space="preserve">Следует говорить внятно при ответе, не употреблять слова-паразиты.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5.</w:t>
        <w:tab/>
        <w:t xml:space="preserve">Полезно изложить свои мысли по тому или иному вопросу дома, в общежитии.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подготовке к лабораторным работам</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расчеты, разработку программного обеспечения на основе специально разработанных заданий.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Завершается лабораторная работа оформлением индивидуального отчета и его защитой перед преподавателем.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подготовке к зачету</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Зачет – форма промежуточной проверки знаний, умений, владений, степени освоения дисциплины.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Главная задача зачета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зачету,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Зачет дает возможность также выявить, умеют ли студенты использовать теоретические знания при решении задач.</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На зачете оцениваются:</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понимание и степень усвоения теории;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методическая подготовка;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знание фактического материала;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знакомство с основной и дополнительно литературой, а также с современными публикациями по данному курсу;</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умение приложить теорию к практике, решать задачи, тесты, правильно проводить расчеты и т.д.;</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логика, структура и стиль ответа, умение защищать выдвигаемые положения.</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Но значение зачета не ограничивается проверкой знаний. Являясь естественным завершением работы студента, он способствует обобщению и закреплению знаний и умений, приведению их в строгую систему, а также устранению возникших в процессе занятий пробелов.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студент ставил перед собой вопросы по поводу изучаемого материала, которые можно разбить на две группы: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вопросы, необходимые для осмысления материала в целом;</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текущие вопросы, которые возникают при детальном разборе материала.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Студент должен их ставить перед собой при подготовке к зачету, и тогда на подобные вопросы со стороны преподавателя ему несложно будет ответить.</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Подготовка к зачету не должна ограничиваться беглым чтением конспекта лекций,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задач, тестов.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На непосредственную подготовку к зачету обычно дается три - пять дней. Этого времени достаточно только для углубления, расширения и систематизации знаний, на устранение пробелов в знании отдельных вопросов, для определения объема ответов на каждый из вопросов программы.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Планируйте подготовку с точностью до часа, учитывая сразу несколько факторов:</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неоднородность материала и этапов его проработки (например, на первоначальное изучение уходит больше времени, чем на повторение),</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свои индивидуальные способности,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ритмы деятельности;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привычки организма.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Чрезмерная физическая нагрузка наряду с общим утомлением приведет к снижению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рабочие периоды делать более длительными, разделяя весь день примерно на три части – с утра до обеда, с обеда до ужина и с ужина до сна.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Подготовку к зачету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подготовки к очередному зачету.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Методические рекомендации студентам по подготовке к экзамену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подготовке к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экзамен.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Необходимо помнить, что практически все экзамены в вузе сконцентрированы в течение короткого временного периода в конце семестра в соответствии с расписанием. Промежутки между очередными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количественного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т.к. всё это может являться обязательной частью учебного процесса по данной дисциплине.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Рекомендуется разработать план подготовки к каждому экзамену, в котором указать, какие вопросы или билеты нужно выучить, какие задачи решить за указанный в плане временной отрезок.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период сдачи экзаменов организм студента работает в крайне напряженном режиме и для успешной сдачи сессии нужно не забывать о простых, но обязательных правилах: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по возможности обеспечить достаточную изоляцию: не отвлекаться на разговоры с друзьями, просмотры телепередач, общение в социальных сетях;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уделять достаточное время сну;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отказаться от успокоительных. Здоровое волнение – это нормально. Лучше снимать волнение небольшими прогулками, самовнушением;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внушать себе, что сессия – это не проблема. Это нормальный рабочий процесс. Не накручивайте себя, не создавайте трагедий в своей голове;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помогите своему организму – обеспечьте ему полноценное питание, давайте ему периоды отдыха с переменой вида деятельности;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следуйте плану подготовки.</w:t>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проведению самостоятельной работы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Самостоятельная работа студента над учебным материалом является неотъемлемой частью учебного процесса в вузе.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учебном процессе образовательного учреждения выделяются два вида самостоятельной работы: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1) </w:t>
      </w:r>
      <w:r>
        <w:rPr>
          <w:rFonts w:cs="Times New Roman" w:ascii="Times New Roman" w:hAnsi="Times New Roman"/>
          <w:i/>
          <w:sz w:val="24"/>
          <w:szCs w:val="24"/>
        </w:rPr>
        <w:t>аудиторная</w:t>
      </w:r>
      <w:r>
        <w:rPr>
          <w:rFonts w:cs="Times New Roman" w:ascii="Times New Roman" w:hAnsi="Times New Roman"/>
          <w:sz w:val="24"/>
          <w:szCs w:val="24"/>
        </w:rPr>
        <w:t xml:space="preserve">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самостоятельных работ;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контрольных и лабораторных работ;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составление схем, диаграмм, заполнение таблиц;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решение задач;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работу со справочной, нормативной документацией и научной литературой;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защиту выполненных работ;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тестирование и т.д.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 </w:t>
      </w:r>
      <w:r>
        <w:rPr>
          <w:rFonts w:cs="Times New Roman" w:ascii="Times New Roman" w:hAnsi="Times New Roman"/>
          <w:i/>
          <w:sz w:val="24"/>
          <w:szCs w:val="24"/>
        </w:rPr>
        <w:t>внеаудиторная</w:t>
      </w:r>
      <w:r>
        <w:rPr>
          <w:rFonts w:cs="Times New Roman" w:ascii="Times New Roman" w:hAnsi="Times New Roman"/>
          <w:sz w:val="24"/>
          <w:szCs w:val="24"/>
        </w:rPr>
        <w:t xml:space="preserve"> – выполняется по заданию преподавателя, но без его непосредственного участия, включает следующие виды деятельности.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аудиторным занятиям (теоретическим, практическим занятиям, лабораторным работам);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домашних заданий разнообразного характера;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индивидуальных заданий, направленных на развитие у студентов самостоятельности и инициативы;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учебной и производственной практикам и выполнение заданий, предусмотренных программами практик;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контрольной работе, экзамену;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написание курсовой работы, реферата и других письменных работ на заданные темы;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ГИА, в том числе выполнение ВКР;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другие виды внеаудиторной самостоятельной работы, специальные для конкретной учебной дисциплины или профессионального модуля.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планировании заданий для внеаудиторной самостоятельной работы используются следующие типы самостоятельной работы: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Internet–ресурсы, повторение учебного материала и др.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семинарским, практическим, при подготовке к экзаменам, тестированию, участию в научных конференциях.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т.д.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pPr>
        <w:pStyle w:val="Normal"/>
        <w:spacing w:lineRule="auto" w:line="276"/>
        <w:rPr>
          <w:rFonts w:ascii="Times New Roman" w:hAnsi="Times New Roman" w:cs="Times New Roman"/>
          <w:b/>
          <w:b/>
          <w:sz w:val="24"/>
          <w:szCs w:val="24"/>
        </w:rPr>
      </w:pPr>
      <w:r>
        <w:rPr>
          <w:rFonts w:cs="Times New Roman" w:ascii="Times New Roman" w:hAnsi="Times New Roman"/>
          <w:b/>
          <w:sz w:val="24"/>
          <w:szCs w:val="24"/>
        </w:rPr>
      </w:r>
      <w:r>
        <w:br w:type="page"/>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Типовые задания для самостоятельной работы</w:t>
      </w:r>
    </w:p>
    <w:p>
      <w:pPr>
        <w:pStyle w:val="NormalWeb"/>
        <w:numPr>
          <w:ilvl w:val="0"/>
          <w:numId w:val="1"/>
        </w:numPr>
        <w:spacing w:before="280" w:afterAutospacing="0" w:after="0"/>
        <w:rPr>
          <w:rFonts w:ascii="Times New Roman" w:hAnsi="Times New Roman"/>
          <w:sz w:val="24"/>
          <w:szCs w:val="24"/>
        </w:rPr>
      </w:pPr>
      <w:r>
        <w:rPr>
          <w:rFonts w:ascii="Times New Roman" w:hAnsi="Times New Roman"/>
          <w:sz w:val="24"/>
          <w:szCs w:val="24"/>
        </w:rPr>
        <w:t xml:space="preserve">Основные определения. Пассивные и активные элементы. Связь между </w:t>
      </w:r>
      <w:r>
        <w:rPr>
          <w:rFonts w:ascii="Times New Roman" w:hAnsi="Times New Roman"/>
          <w:color w:val="000000"/>
          <w:sz w:val="24"/>
          <w:szCs w:val="24"/>
        </w:rPr>
        <w:t>напряжением</w:t>
      </w:r>
      <w:r>
        <w:rPr>
          <w:rFonts w:ascii="Times New Roman" w:hAnsi="Times New Roman"/>
          <w:sz w:val="24"/>
          <w:szCs w:val="24"/>
        </w:rPr>
        <w:t xml:space="preserve">, током и мощностью на элементах схемы. </w:t>
      </w:r>
    </w:p>
    <w:p>
      <w:pPr>
        <w:pStyle w:val="NormalWeb"/>
        <w:numPr>
          <w:ilvl w:val="0"/>
          <w:numId w:val="1"/>
        </w:numPr>
        <w:spacing w:before="280" w:afterAutospacing="0" w:after="0"/>
        <w:rPr>
          <w:rFonts w:ascii="Times New Roman" w:hAnsi="Times New Roman"/>
          <w:sz w:val="24"/>
          <w:szCs w:val="24"/>
        </w:rPr>
      </w:pPr>
      <w:r>
        <w:rPr>
          <w:rFonts w:ascii="Times New Roman" w:hAnsi="Times New Roman"/>
          <w:sz w:val="24"/>
          <w:szCs w:val="24"/>
        </w:rPr>
        <w:t>Правила Кирхгофа. Особенности применения в цепях с источниками тока и с управляемыми источниками. Примеры записи уравнений.</w:t>
      </w:r>
    </w:p>
    <w:p>
      <w:pPr>
        <w:pStyle w:val="NormalWeb"/>
        <w:numPr>
          <w:ilvl w:val="0"/>
          <w:numId w:val="1"/>
        </w:numPr>
        <w:spacing w:before="280" w:afterAutospacing="0" w:after="0"/>
        <w:rPr>
          <w:rFonts w:ascii="Times New Roman" w:hAnsi="Times New Roman"/>
          <w:sz w:val="24"/>
          <w:szCs w:val="24"/>
        </w:rPr>
      </w:pPr>
      <w:r>
        <w:rPr>
          <w:rFonts w:ascii="Times New Roman" w:hAnsi="Times New Roman"/>
          <w:color w:val="000000"/>
          <w:sz w:val="24"/>
          <w:szCs w:val="24"/>
        </w:rPr>
        <w:t>Метод эквивалентного генератора. Особенности расчета в цепях с упр</w:t>
      </w:r>
      <w:r>
        <w:rPr>
          <w:rFonts w:ascii="Times New Roman" w:hAnsi="Times New Roman"/>
          <w:sz w:val="24"/>
          <w:szCs w:val="24"/>
        </w:rPr>
        <w:t xml:space="preserve">авляемыми источниками. Примеры расчета. </w:t>
      </w:r>
    </w:p>
    <w:p>
      <w:pPr>
        <w:pStyle w:val="NormalWeb"/>
        <w:numPr>
          <w:ilvl w:val="0"/>
          <w:numId w:val="1"/>
        </w:numPr>
        <w:spacing w:before="280" w:afterAutospacing="0" w:after="0"/>
        <w:rPr>
          <w:rFonts w:ascii="Times New Roman" w:hAnsi="Times New Roman"/>
          <w:sz w:val="24"/>
          <w:szCs w:val="24"/>
        </w:rPr>
      </w:pPr>
      <w:r>
        <w:rPr>
          <w:rFonts w:ascii="Times New Roman" w:hAnsi="Times New Roman"/>
          <w:sz w:val="24"/>
          <w:szCs w:val="24"/>
        </w:rPr>
        <w:t>Передача мощности от активного двухполюсника к пассивному. Метод наложения.</w:t>
      </w:r>
    </w:p>
    <w:p>
      <w:pPr>
        <w:pStyle w:val="NormalWeb"/>
        <w:numPr>
          <w:ilvl w:val="0"/>
          <w:numId w:val="1"/>
        </w:numPr>
        <w:spacing w:before="280" w:afterAutospacing="0" w:after="0"/>
        <w:rPr>
          <w:rFonts w:ascii="Times New Roman" w:hAnsi="Times New Roman"/>
          <w:sz w:val="24"/>
          <w:szCs w:val="24"/>
        </w:rPr>
      </w:pPr>
      <w:r>
        <w:rPr>
          <w:rFonts w:ascii="Times New Roman" w:hAnsi="Times New Roman"/>
          <w:sz w:val="24"/>
          <w:szCs w:val="24"/>
        </w:rPr>
        <w:t>Анализ цепей при установившихся гармонических колебаниях. Основные определения. Символический метод расчета. Связь между комплексами тока и напряжения на пассивных элементах. Порядок расчета, пример расчета.</w:t>
      </w:r>
    </w:p>
    <w:p>
      <w:pPr>
        <w:pStyle w:val="NormalWeb"/>
        <w:numPr>
          <w:ilvl w:val="0"/>
          <w:numId w:val="1"/>
        </w:numPr>
        <w:spacing w:before="280" w:afterAutospacing="0" w:after="0"/>
        <w:rPr>
          <w:rFonts w:ascii="Times New Roman" w:hAnsi="Times New Roman"/>
          <w:sz w:val="24"/>
          <w:szCs w:val="24"/>
        </w:rPr>
      </w:pPr>
      <w:r>
        <w:rPr>
          <w:rFonts w:ascii="Times New Roman" w:hAnsi="Times New Roman"/>
          <w:color w:val="000000"/>
          <w:sz w:val="24"/>
          <w:szCs w:val="24"/>
        </w:rPr>
        <w:t xml:space="preserve">Векторные и потенциальные диаграммы. Мощности в цепях синусоидального тока. </w:t>
      </w:r>
    </w:p>
    <w:p>
      <w:pPr>
        <w:pStyle w:val="NormalWeb"/>
        <w:numPr>
          <w:ilvl w:val="0"/>
          <w:numId w:val="1"/>
        </w:numPr>
        <w:spacing w:before="280" w:afterAutospacing="0" w:after="0"/>
        <w:rPr>
          <w:rFonts w:ascii="Times New Roman" w:hAnsi="Times New Roman"/>
          <w:sz w:val="24"/>
          <w:szCs w:val="24"/>
        </w:rPr>
      </w:pPr>
      <w:r>
        <w:rPr>
          <w:rFonts w:ascii="Times New Roman" w:hAnsi="Times New Roman"/>
          <w:color w:val="000000"/>
          <w:sz w:val="24"/>
          <w:szCs w:val="24"/>
        </w:rPr>
        <w:t>Частотные характеристики электрических цепей, Примеры нахождения АЧХ и ФЧХ. Анализ АЧХ в предельных точках.</w:t>
      </w:r>
    </w:p>
    <w:p>
      <w:pPr>
        <w:pStyle w:val="NormalWeb"/>
        <w:numPr>
          <w:ilvl w:val="0"/>
          <w:numId w:val="1"/>
        </w:numPr>
        <w:spacing w:before="280" w:afterAutospacing="0" w:after="0"/>
        <w:rPr>
          <w:rFonts w:ascii="Times New Roman" w:hAnsi="Times New Roman"/>
          <w:sz w:val="24"/>
          <w:szCs w:val="24"/>
        </w:rPr>
      </w:pPr>
      <w:r>
        <w:rPr>
          <w:rFonts w:ascii="Times New Roman" w:hAnsi="Times New Roman"/>
          <w:color w:val="000000"/>
          <w:sz w:val="24"/>
          <w:szCs w:val="24"/>
        </w:rPr>
        <w:t>Анализ цепей при периодическом несинусоидальном воздействии.</w:t>
      </w:r>
    </w:p>
    <w:p>
      <w:pPr>
        <w:pStyle w:val="NormalWeb"/>
        <w:numPr>
          <w:ilvl w:val="0"/>
          <w:numId w:val="1"/>
        </w:numPr>
        <w:spacing w:before="280" w:afterAutospacing="0" w:after="0"/>
        <w:rPr>
          <w:rFonts w:ascii="Times New Roman" w:hAnsi="Times New Roman"/>
          <w:sz w:val="24"/>
          <w:szCs w:val="24"/>
        </w:rPr>
      </w:pPr>
      <w:r>
        <w:rPr>
          <w:rFonts w:ascii="Times New Roman" w:hAnsi="Times New Roman"/>
          <w:color w:val="000000"/>
          <w:sz w:val="24"/>
          <w:szCs w:val="24"/>
        </w:rPr>
        <w:t>Резонанс в электрических цепях. Последовательный колебательный контур.</w:t>
      </w:r>
    </w:p>
    <w:p>
      <w:pPr>
        <w:pStyle w:val="NormalWeb"/>
        <w:numPr>
          <w:ilvl w:val="0"/>
          <w:numId w:val="1"/>
        </w:numPr>
        <w:spacing w:before="280" w:afterAutospacing="0" w:after="0"/>
        <w:ind w:left="697" w:hanging="340"/>
        <w:rPr>
          <w:rFonts w:ascii="Times New Roman" w:hAnsi="Times New Roman"/>
          <w:sz w:val="24"/>
          <w:szCs w:val="24"/>
        </w:rPr>
      </w:pPr>
      <w:r>
        <w:rPr>
          <w:rFonts w:ascii="Times New Roman" w:hAnsi="Times New Roman"/>
          <w:color w:val="000000"/>
          <w:sz w:val="24"/>
          <w:szCs w:val="24"/>
        </w:rPr>
        <w:t>Частотные характеристики последовательного контура. Полоса пропускания контура.</w:t>
      </w:r>
    </w:p>
    <w:p>
      <w:pPr>
        <w:pStyle w:val="NormalWeb"/>
        <w:numPr>
          <w:ilvl w:val="0"/>
          <w:numId w:val="1"/>
        </w:numPr>
        <w:spacing w:before="280" w:afterAutospacing="0" w:after="0"/>
        <w:ind w:left="714" w:hanging="357"/>
        <w:rPr>
          <w:rFonts w:ascii="Times New Roman" w:hAnsi="Times New Roman"/>
          <w:sz w:val="24"/>
          <w:szCs w:val="24"/>
        </w:rPr>
      </w:pPr>
      <w:r>
        <w:rPr>
          <w:rFonts w:ascii="Times New Roman" w:hAnsi="Times New Roman"/>
          <w:color w:val="000000"/>
          <w:sz w:val="24"/>
          <w:szCs w:val="24"/>
        </w:rPr>
        <w:t>Влияние генератора и нагрузки на последовательный контур.</w:t>
      </w:r>
    </w:p>
    <w:p>
      <w:pPr>
        <w:pStyle w:val="NormalWeb"/>
        <w:numPr>
          <w:ilvl w:val="0"/>
          <w:numId w:val="1"/>
        </w:numPr>
        <w:spacing w:before="280" w:afterAutospacing="0" w:after="0"/>
        <w:ind w:left="714" w:hanging="357"/>
        <w:rPr>
          <w:rFonts w:ascii="Times New Roman" w:hAnsi="Times New Roman"/>
          <w:sz w:val="24"/>
          <w:szCs w:val="24"/>
        </w:rPr>
      </w:pPr>
      <w:r>
        <w:rPr>
          <w:rFonts w:ascii="Times New Roman" w:hAnsi="Times New Roman"/>
          <w:color w:val="000000"/>
          <w:sz w:val="24"/>
          <w:szCs w:val="24"/>
        </w:rPr>
        <w:t>Параллельный колебательный контур.</w:t>
      </w:r>
    </w:p>
    <w:p>
      <w:pPr>
        <w:pStyle w:val="NormalWeb"/>
        <w:numPr>
          <w:ilvl w:val="0"/>
          <w:numId w:val="1"/>
        </w:numPr>
        <w:spacing w:before="280" w:afterAutospacing="0" w:after="0"/>
        <w:ind w:left="714" w:hanging="357"/>
        <w:rPr>
          <w:rFonts w:ascii="Times New Roman" w:hAnsi="Times New Roman"/>
          <w:sz w:val="24"/>
          <w:szCs w:val="24"/>
        </w:rPr>
      </w:pPr>
      <w:r>
        <w:rPr>
          <w:rFonts w:ascii="Times New Roman" w:hAnsi="Times New Roman"/>
          <w:color w:val="000000"/>
          <w:sz w:val="24"/>
          <w:szCs w:val="24"/>
        </w:rPr>
        <w:t>Нелинейные цепи. Основные определения. Графический метод расчета.</w:t>
      </w:r>
    </w:p>
    <w:p>
      <w:pPr>
        <w:pStyle w:val="NormalWeb"/>
        <w:numPr>
          <w:ilvl w:val="0"/>
          <w:numId w:val="1"/>
        </w:numPr>
        <w:spacing w:before="280" w:afterAutospacing="0" w:after="0"/>
        <w:ind w:left="714" w:hanging="357"/>
        <w:rPr>
          <w:rFonts w:ascii="Times New Roman" w:hAnsi="Times New Roman"/>
          <w:sz w:val="24"/>
          <w:szCs w:val="24"/>
        </w:rPr>
      </w:pPr>
      <w:r>
        <w:rPr>
          <w:rFonts w:ascii="Times New Roman" w:hAnsi="Times New Roman"/>
          <w:color w:val="000000"/>
          <w:sz w:val="24"/>
          <w:szCs w:val="24"/>
        </w:rPr>
        <w:t xml:space="preserve">Расчет нелинейных цепей методом линеаризации. </w:t>
      </w:r>
    </w:p>
    <w:p>
      <w:pPr>
        <w:pStyle w:val="NormalWeb"/>
        <w:numPr>
          <w:ilvl w:val="0"/>
          <w:numId w:val="1"/>
        </w:numPr>
        <w:spacing w:before="280" w:afterAutospacing="0" w:after="0"/>
        <w:rPr>
          <w:rFonts w:ascii="Times New Roman" w:hAnsi="Times New Roman"/>
          <w:sz w:val="24"/>
          <w:szCs w:val="24"/>
        </w:rPr>
      </w:pPr>
      <w:r>
        <w:rPr>
          <w:rFonts w:ascii="Times New Roman" w:hAnsi="Times New Roman"/>
          <w:color w:val="000000"/>
          <w:sz w:val="24"/>
          <w:szCs w:val="24"/>
        </w:rPr>
        <w:t>Трехфазные цепи</w:t>
      </w:r>
    </w:p>
    <w:p>
      <w:pPr>
        <w:pStyle w:val="NormalWeb"/>
        <w:widowControl w:val="false"/>
        <w:spacing w:before="280" w:afterAutospacing="0" w:after="142"/>
        <w:ind w:left="737" w:hanging="737"/>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16. </w:t>
      </w:r>
      <w:r>
        <w:rPr>
          <w:rFonts w:eastAsia="Times New Roman" w:ascii="Times New Roman" w:hAnsi="Times New Roman"/>
          <w:sz w:val="24"/>
          <w:szCs w:val="24"/>
        </w:rPr>
        <w:t xml:space="preserve">Переходные процессы. Классический метод расчета переходных  процессов, порядок расчета, пример расчета. </w:t>
      </w:r>
    </w:p>
    <w:p>
      <w:pPr>
        <w:pStyle w:val="NormalWeb"/>
        <w:spacing w:before="280" w:afterAutospacing="0" w:after="142"/>
        <w:ind w:left="737" w:hanging="737"/>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17. Переходные процессы с одним накопителем энергии. Разряд емкости на сопротивление, заряд емкости через сопротивление. </w:t>
      </w:r>
    </w:p>
    <w:p>
      <w:pPr>
        <w:pStyle w:val="Normal"/>
        <w:spacing w:lineRule="auto" w:line="240" w:before="280" w:after="142"/>
        <w:ind w:left="754" w:hanging="397"/>
        <w:rPr>
          <w:rFonts w:ascii="Times New Roman" w:hAnsi="Times New Roman"/>
          <w:sz w:val="24"/>
          <w:szCs w:val="24"/>
        </w:rPr>
      </w:pPr>
      <w:r>
        <w:rPr>
          <w:rFonts w:ascii="Times New Roman" w:hAnsi="Times New Roman"/>
          <w:sz w:val="24"/>
          <w:szCs w:val="24"/>
          <w:lang w:eastAsia="ru-RU"/>
        </w:rPr>
        <w:t xml:space="preserve">18. Переходные процессы с одним накопителем энергии. Подключение цепи </w:t>
      </w:r>
      <w:r>
        <w:rPr>
          <w:rFonts w:ascii="Times New Roman" w:hAnsi="Times New Roman"/>
          <w:sz w:val="24"/>
          <w:szCs w:val="24"/>
          <w:lang w:val="en-US" w:eastAsia="ru-RU"/>
        </w:rPr>
        <w:t>RL</w:t>
      </w:r>
      <w:r>
        <w:rPr>
          <w:rFonts w:ascii="Times New Roman" w:hAnsi="Times New Roman"/>
          <w:sz w:val="24"/>
          <w:szCs w:val="24"/>
          <w:lang w:eastAsia="ru-RU"/>
        </w:rPr>
        <w:t xml:space="preserve"> к источнику постоянного напряжения. Отключение цепи </w:t>
      </w:r>
      <w:r>
        <w:rPr>
          <w:rFonts w:ascii="Times New Roman" w:hAnsi="Times New Roman"/>
          <w:sz w:val="24"/>
          <w:szCs w:val="24"/>
          <w:lang w:val="en-US" w:eastAsia="ru-RU"/>
        </w:rPr>
        <w:t>RL</w:t>
      </w:r>
      <w:r>
        <w:rPr>
          <w:rFonts w:ascii="Times New Roman" w:hAnsi="Times New Roman"/>
          <w:sz w:val="24"/>
          <w:szCs w:val="24"/>
          <w:lang w:eastAsia="ru-RU"/>
        </w:rPr>
        <w:t xml:space="preserve"> от источника постоянного напряжения. </w:t>
      </w:r>
    </w:p>
    <w:p>
      <w:pPr>
        <w:pStyle w:val="Normal"/>
        <w:spacing w:lineRule="auto" w:line="240" w:before="280" w:after="142"/>
        <w:ind w:left="754" w:hanging="397"/>
        <w:rPr>
          <w:rFonts w:ascii="Times New Roman" w:hAnsi="Times New Roman"/>
          <w:sz w:val="24"/>
          <w:szCs w:val="24"/>
        </w:rPr>
      </w:pPr>
      <w:r>
        <w:rPr>
          <w:rFonts w:ascii="Times New Roman" w:hAnsi="Times New Roman"/>
          <w:sz w:val="24"/>
          <w:szCs w:val="24"/>
          <w:lang w:eastAsia="ru-RU"/>
        </w:rPr>
        <w:t xml:space="preserve">19. Переходные процессы с одним накопителем энергии. Подключение цепи </w:t>
      </w:r>
      <w:r>
        <w:rPr>
          <w:rFonts w:ascii="Times New Roman" w:hAnsi="Times New Roman"/>
          <w:sz w:val="24"/>
          <w:szCs w:val="24"/>
          <w:lang w:val="en-US" w:eastAsia="ru-RU"/>
        </w:rPr>
        <w:t>RL</w:t>
      </w:r>
      <w:r>
        <w:rPr>
          <w:rFonts w:ascii="Times New Roman" w:hAnsi="Times New Roman"/>
          <w:sz w:val="24"/>
          <w:szCs w:val="24"/>
          <w:lang w:eastAsia="ru-RU"/>
        </w:rPr>
        <w:t xml:space="preserve"> к источнику синусоидального напряжения. </w:t>
      </w:r>
    </w:p>
    <w:p>
      <w:pPr>
        <w:pStyle w:val="Normal"/>
        <w:spacing w:lineRule="auto" w:line="240" w:before="280" w:after="142"/>
        <w:ind w:left="360" w:hanging="0"/>
        <w:rPr>
          <w:rFonts w:ascii="Times New Roman" w:hAnsi="Times New Roman"/>
          <w:sz w:val="24"/>
          <w:szCs w:val="24"/>
        </w:rPr>
      </w:pPr>
      <w:r>
        <w:rPr>
          <w:rFonts w:ascii="Times New Roman" w:hAnsi="Times New Roman"/>
          <w:sz w:val="24"/>
          <w:szCs w:val="24"/>
          <w:lang w:eastAsia="ru-RU"/>
        </w:rPr>
        <w:t xml:space="preserve">20. Подключение цепи </w:t>
      </w:r>
      <w:r>
        <w:rPr>
          <w:rFonts w:ascii="Times New Roman" w:hAnsi="Times New Roman"/>
          <w:sz w:val="24"/>
          <w:szCs w:val="24"/>
          <w:lang w:val="en-US" w:eastAsia="ru-RU"/>
        </w:rPr>
        <w:t>RL</w:t>
      </w:r>
      <w:r>
        <w:rPr>
          <w:rFonts w:ascii="Times New Roman" w:hAnsi="Times New Roman"/>
          <w:sz w:val="24"/>
          <w:szCs w:val="24"/>
          <w:lang w:eastAsia="ru-RU"/>
        </w:rPr>
        <w:t xml:space="preserve">С к источнику постоянного напряжения. </w:t>
      </w:r>
    </w:p>
    <w:p>
      <w:pPr>
        <w:pStyle w:val="Normal"/>
        <w:spacing w:lineRule="auto" w:line="240" w:before="280" w:after="0"/>
        <w:ind w:left="822" w:hanging="397"/>
        <w:jc w:val="both"/>
        <w:rPr>
          <w:rFonts w:ascii="Times New Roman" w:hAnsi="Times New Roman"/>
          <w:sz w:val="24"/>
          <w:szCs w:val="24"/>
        </w:rPr>
      </w:pPr>
      <w:r>
        <w:rPr>
          <w:rFonts w:ascii="Times New Roman" w:hAnsi="Times New Roman"/>
          <w:sz w:val="24"/>
          <w:szCs w:val="24"/>
        </w:rPr>
        <w:t>21.Операторный метод расчета переходных процессов. Свойства преобразования Лапласа. Операторные схемы.  Порядок расчета. Переход от изображений к оригиналу и обратно. Пример расчета.</w:t>
      </w:r>
    </w:p>
    <w:p>
      <w:pPr>
        <w:pStyle w:val="Normal"/>
        <w:spacing w:lineRule="auto" w:line="240" w:before="280" w:after="0"/>
        <w:ind w:left="822" w:hanging="397"/>
        <w:jc w:val="both"/>
        <w:rPr>
          <w:rFonts w:ascii="Times New Roman" w:hAnsi="Times New Roman"/>
          <w:sz w:val="24"/>
          <w:szCs w:val="24"/>
        </w:rPr>
      </w:pPr>
      <w:r>
        <w:rPr>
          <w:rFonts w:ascii="Times New Roman" w:hAnsi="Times New Roman"/>
          <w:sz w:val="24"/>
          <w:szCs w:val="24"/>
        </w:rPr>
        <w:t xml:space="preserve">22.Переходная характеристика цепи и её применение для расчета реакции цепи на прямоугольный импульс и произвольное воздействие. Пример нахождения </w:t>
      </w:r>
      <w:r>
        <w:rPr>
          <w:rFonts w:ascii="Times New Roman" w:hAnsi="Times New Roman"/>
          <w:sz w:val="24"/>
          <w:szCs w:val="24"/>
          <w:lang w:val="en-US"/>
        </w:rPr>
        <w:t>h</w:t>
      </w:r>
      <w:r>
        <w:rPr>
          <w:rFonts w:ascii="Times New Roman" w:hAnsi="Times New Roman"/>
          <w:sz w:val="24"/>
          <w:szCs w:val="24"/>
        </w:rPr>
        <w:t>(</w:t>
      </w:r>
      <w:r>
        <w:rPr>
          <w:rFonts w:ascii="Times New Roman" w:hAnsi="Times New Roman"/>
          <w:sz w:val="24"/>
          <w:szCs w:val="24"/>
          <w:lang w:val="en-US"/>
        </w:rPr>
        <w:t>t</w:t>
      </w:r>
      <w:r>
        <w:rPr>
          <w:rFonts w:ascii="Times New Roman" w:hAnsi="Times New Roman"/>
          <w:sz w:val="24"/>
          <w:szCs w:val="24"/>
        </w:rPr>
        <w:t>) и реакции на прямоугольный импульс.</w:t>
      </w:r>
    </w:p>
    <w:p>
      <w:pPr>
        <w:pStyle w:val="Normal"/>
        <w:spacing w:lineRule="auto" w:line="240" w:before="280" w:after="0"/>
        <w:ind w:left="822" w:hanging="397"/>
        <w:jc w:val="both"/>
        <w:rPr>
          <w:rFonts w:ascii="Times New Roman" w:hAnsi="Times New Roman"/>
          <w:sz w:val="24"/>
          <w:szCs w:val="24"/>
        </w:rPr>
      </w:pPr>
      <w:r>
        <w:rPr>
          <w:rFonts w:ascii="Times New Roman" w:hAnsi="Times New Roman"/>
          <w:sz w:val="24"/>
          <w:szCs w:val="24"/>
        </w:rPr>
        <w:t>23. Импульсная характеристика цепи и её применение для расчета реакции цепи на произвольное воздействие. Связь импульсной и переходной характеристики. Примеры нахождения импульсной характеристики.</w:t>
      </w:r>
    </w:p>
    <w:p>
      <w:pPr>
        <w:pStyle w:val="Normal"/>
        <w:spacing w:lineRule="auto" w:line="240" w:before="280" w:after="0"/>
        <w:ind w:left="426" w:hanging="0"/>
        <w:jc w:val="both"/>
        <w:rPr>
          <w:rFonts w:ascii="Times New Roman" w:hAnsi="Times New Roman"/>
          <w:sz w:val="24"/>
          <w:szCs w:val="24"/>
        </w:rPr>
      </w:pPr>
      <w:r>
        <w:rPr>
          <w:rFonts w:ascii="Times New Roman" w:hAnsi="Times New Roman"/>
          <w:sz w:val="24"/>
          <w:szCs w:val="24"/>
        </w:rPr>
        <w:t xml:space="preserve">24. Прохождение прямоугольного импульса через цепь </w:t>
      </w:r>
      <w:r>
        <w:rPr>
          <w:rFonts w:ascii="Times New Roman" w:hAnsi="Times New Roman"/>
          <w:sz w:val="24"/>
          <w:szCs w:val="24"/>
          <w:lang w:val="en-US"/>
        </w:rPr>
        <w:t>RC</w:t>
      </w:r>
      <w:r>
        <w:rPr>
          <w:rFonts w:ascii="Times New Roman" w:hAnsi="Times New Roman"/>
          <w:sz w:val="24"/>
          <w:szCs w:val="24"/>
        </w:rPr>
        <w:t>.</w:t>
      </w:r>
    </w:p>
    <w:p>
      <w:pPr>
        <w:pStyle w:val="Normal"/>
        <w:spacing w:lineRule="auto" w:line="240" w:before="280" w:after="0"/>
        <w:ind w:left="426" w:hanging="0"/>
        <w:jc w:val="both"/>
        <w:rPr>
          <w:rFonts w:ascii="Times New Roman" w:hAnsi="Times New Roman"/>
          <w:sz w:val="24"/>
          <w:szCs w:val="24"/>
        </w:rPr>
      </w:pPr>
      <w:r>
        <w:rPr>
          <w:rFonts w:ascii="Times New Roman" w:hAnsi="Times New Roman"/>
          <w:sz w:val="24"/>
          <w:szCs w:val="24"/>
        </w:rPr>
        <w:t xml:space="preserve">25. Прохождение прямоугольного импульса через цепь </w:t>
      </w:r>
      <w:r>
        <w:rPr>
          <w:rFonts w:ascii="Times New Roman" w:hAnsi="Times New Roman"/>
          <w:sz w:val="24"/>
          <w:szCs w:val="24"/>
          <w:lang w:val="en-US"/>
        </w:rPr>
        <w:t>CR</w:t>
      </w:r>
      <w:r>
        <w:rPr>
          <w:rFonts w:ascii="Times New Roman" w:hAnsi="Times New Roman"/>
          <w:sz w:val="24"/>
          <w:szCs w:val="24"/>
        </w:rPr>
        <w:t>.</w:t>
      </w:r>
    </w:p>
    <w:p>
      <w:pPr>
        <w:pStyle w:val="Normal"/>
        <w:spacing w:lineRule="auto" w:line="240" w:before="280" w:after="142"/>
        <w:ind w:left="822" w:hanging="397"/>
        <w:rPr>
          <w:rFonts w:ascii="Times New Roman" w:hAnsi="Times New Roman"/>
          <w:sz w:val="24"/>
          <w:szCs w:val="24"/>
        </w:rPr>
      </w:pPr>
      <w:r>
        <w:rPr>
          <w:rFonts w:ascii="Times New Roman" w:hAnsi="Times New Roman"/>
          <w:sz w:val="24"/>
          <w:szCs w:val="24"/>
          <w:lang w:eastAsia="ru-RU"/>
        </w:rPr>
        <w:t xml:space="preserve">26. Импульсная характеристика цепи и её применение для расчета реакции цепи на произвольное воздействие. Связь импульсной и переходной характеристики. Примеры нахождения импульсной характеристики. </w:t>
      </w:r>
    </w:p>
    <w:p>
      <w:pPr>
        <w:pStyle w:val="Normal"/>
        <w:spacing w:lineRule="auto" w:line="240" w:before="280" w:after="142"/>
        <w:ind w:left="360" w:hanging="0"/>
        <w:rPr>
          <w:rFonts w:ascii="Times New Roman" w:hAnsi="Times New Roman"/>
          <w:sz w:val="24"/>
          <w:szCs w:val="24"/>
        </w:rPr>
      </w:pPr>
      <w:r>
        <w:rPr>
          <w:rFonts w:ascii="Times New Roman" w:hAnsi="Times New Roman"/>
          <w:sz w:val="24"/>
          <w:szCs w:val="24"/>
          <w:lang w:eastAsia="ru-RU"/>
        </w:rPr>
        <w:t xml:space="preserve">27. Передаточная функция цепи, её свойства. </w:t>
      </w:r>
    </w:p>
    <w:p>
      <w:pPr>
        <w:pStyle w:val="Normal"/>
        <w:spacing w:lineRule="auto" w:line="240" w:before="280" w:after="142"/>
        <w:ind w:left="754" w:hanging="397"/>
        <w:rPr>
          <w:rFonts w:ascii="Times New Roman" w:hAnsi="Times New Roman"/>
          <w:sz w:val="24"/>
          <w:szCs w:val="24"/>
        </w:rPr>
      </w:pPr>
      <w:r>
        <w:rPr>
          <w:rFonts w:ascii="Times New Roman" w:hAnsi="Times New Roman"/>
          <w:sz w:val="24"/>
          <w:szCs w:val="24"/>
          <w:lang w:eastAsia="ru-RU"/>
        </w:rPr>
        <w:t xml:space="preserve">28. Представление передаточной функции с помощью нулей и полюсов. Построение АЧХ и ФЧХ по карте нулей и полюсов. Пример построения. Связь между АЧХ и ФЧХ для минимальнофазовых и неминимальнофазовых цепей. </w:t>
      </w:r>
    </w:p>
    <w:p>
      <w:pPr>
        <w:pStyle w:val="Normal"/>
        <w:spacing w:lineRule="auto" w:line="240" w:before="280" w:after="142"/>
        <w:ind w:left="754" w:hanging="397"/>
        <w:rPr>
          <w:rFonts w:ascii="Times New Roman" w:hAnsi="Times New Roman"/>
          <w:sz w:val="24"/>
          <w:szCs w:val="24"/>
        </w:rPr>
      </w:pPr>
      <w:r>
        <w:rPr>
          <w:rFonts w:ascii="Times New Roman" w:hAnsi="Times New Roman"/>
          <w:sz w:val="24"/>
          <w:szCs w:val="24"/>
          <w:lang w:eastAsia="ru-RU"/>
        </w:rPr>
        <w:t xml:space="preserve">29. Цепи с распределенными параметрами. Получение уравнений длинной линии. </w:t>
      </w:r>
    </w:p>
    <w:p>
      <w:pPr>
        <w:pStyle w:val="Normal"/>
        <w:spacing w:lineRule="auto" w:line="240" w:before="280" w:after="142"/>
        <w:ind w:left="754" w:hanging="397"/>
        <w:rPr>
          <w:rFonts w:ascii="Times New Roman" w:hAnsi="Times New Roman"/>
          <w:sz w:val="24"/>
          <w:szCs w:val="24"/>
        </w:rPr>
      </w:pPr>
      <w:r>
        <w:rPr>
          <w:rFonts w:ascii="Times New Roman" w:hAnsi="Times New Roman"/>
          <w:sz w:val="24"/>
          <w:szCs w:val="24"/>
          <w:lang w:eastAsia="ru-RU"/>
        </w:rPr>
        <w:t>30. Установившийся синусоидальный режим в длинной линии. Линия без искажений.</w:t>
      </w:r>
    </w:p>
    <w:p>
      <w:pPr>
        <w:pStyle w:val="Normal"/>
        <w:spacing w:lineRule="auto" w:line="240" w:before="280" w:after="142"/>
        <w:ind w:left="754" w:hanging="397"/>
        <w:rPr>
          <w:rFonts w:ascii="Times New Roman" w:hAnsi="Times New Roman"/>
          <w:sz w:val="24"/>
          <w:szCs w:val="24"/>
        </w:rPr>
      </w:pPr>
      <w:r>
        <w:rPr>
          <w:rFonts w:ascii="Times New Roman" w:hAnsi="Times New Roman"/>
          <w:sz w:val="24"/>
          <w:szCs w:val="24"/>
          <w:lang w:eastAsia="ru-RU"/>
        </w:rPr>
        <w:t>31. Уравнения длинной линии в гиперболической форме. Входное сопротивление линии.</w:t>
      </w:r>
    </w:p>
    <w:p>
      <w:pPr>
        <w:pStyle w:val="Normal"/>
        <w:spacing w:lineRule="auto" w:line="240" w:before="280" w:after="142"/>
        <w:ind w:left="754" w:hanging="397"/>
        <w:rPr>
          <w:rFonts w:ascii="Times New Roman" w:hAnsi="Times New Roman"/>
          <w:sz w:val="24"/>
          <w:szCs w:val="24"/>
        </w:rPr>
      </w:pPr>
      <w:r>
        <w:rPr>
          <w:rFonts w:ascii="Times New Roman" w:hAnsi="Times New Roman"/>
          <w:sz w:val="24"/>
          <w:szCs w:val="24"/>
          <w:lang w:eastAsia="ru-RU"/>
        </w:rPr>
        <w:t xml:space="preserve">32. Анализ режимов в линии с помощью коэффициента отражения. Распределение тока и напряжения вдоль линии, входное сопротивление в точках экстремума, КБВ и КСВ. </w:t>
      </w:r>
    </w:p>
    <w:p>
      <w:pPr>
        <w:pStyle w:val="Normal"/>
        <w:spacing w:lineRule="auto" w:line="240" w:before="280" w:after="142"/>
        <w:ind w:left="360" w:hanging="0"/>
        <w:rPr>
          <w:rFonts w:ascii="Times New Roman" w:hAnsi="Times New Roman"/>
          <w:sz w:val="24"/>
          <w:szCs w:val="24"/>
        </w:rPr>
      </w:pPr>
      <w:r>
        <w:rPr>
          <w:rFonts w:ascii="Times New Roman" w:hAnsi="Times New Roman"/>
          <w:sz w:val="24"/>
          <w:szCs w:val="24"/>
          <w:lang w:eastAsia="ru-RU"/>
        </w:rPr>
        <w:t>33.  Особенности расчета цепей с операционными усилителями</w:t>
      </w:r>
    </w:p>
    <w:p>
      <w:pPr>
        <w:pStyle w:val="Normal"/>
        <w:spacing w:lineRule="auto" w:line="240" w:before="280" w:after="142"/>
        <w:ind w:left="360" w:hanging="0"/>
        <w:rPr>
          <w:rFonts w:ascii="Times New Roman" w:hAnsi="Times New Roman"/>
          <w:sz w:val="24"/>
          <w:szCs w:val="24"/>
        </w:rPr>
      </w:pPr>
      <w:r>
        <w:rPr>
          <w:rFonts w:ascii="Times New Roman" w:hAnsi="Times New Roman"/>
          <w:sz w:val="24"/>
          <w:szCs w:val="24"/>
          <w:lang w:eastAsia="ru-RU"/>
        </w:rPr>
        <w:t>34. Цепи с обратными связями.</w:t>
      </w:r>
    </w:p>
    <w:p>
      <w:pPr>
        <w:pStyle w:val="Normal"/>
        <w:spacing w:lineRule="auto" w:line="240" w:before="280" w:after="142"/>
        <w:ind w:left="754" w:hanging="397"/>
        <w:rPr>
          <w:rFonts w:ascii="Times New Roman" w:hAnsi="Times New Roman"/>
          <w:sz w:val="24"/>
          <w:szCs w:val="24"/>
        </w:rPr>
      </w:pPr>
      <w:r>
        <w:rPr>
          <w:rFonts w:ascii="Times New Roman" w:hAnsi="Times New Roman"/>
          <w:sz w:val="24"/>
          <w:szCs w:val="24"/>
          <w:lang w:eastAsia="ru-RU"/>
        </w:rPr>
        <w:t>35.  Четырехполюсники. Системы уравнений, эквивалентные схемы, соединения четырехполюсников.</w:t>
      </w:r>
    </w:p>
    <w:p>
      <w:pPr>
        <w:pStyle w:val="Normal"/>
        <w:spacing w:lineRule="auto" w:line="240" w:before="280" w:after="142"/>
        <w:ind w:left="754" w:hanging="397"/>
        <w:jc w:val="both"/>
        <w:rPr>
          <w:rFonts w:ascii="Times New Roman" w:hAnsi="Times New Roman" w:cs="Times New Roman"/>
          <w:sz w:val="24"/>
          <w:szCs w:val="24"/>
          <w:highlight w:val="yellow"/>
        </w:rPr>
      </w:pPr>
      <w:r>
        <w:rPr>
          <w:rFonts w:cs="Times New Roman" w:ascii="Times New Roman" w:hAnsi="Times New Roman"/>
          <w:b/>
          <w:sz w:val="24"/>
          <w:szCs w:val="24"/>
          <w:lang w:eastAsia="ru-RU"/>
        </w:rPr>
      </w:r>
      <w:r>
        <w:br w:type="page"/>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Библиографический список</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1. Милюков С.М., Основы теории цепей: методические указания к лабораторным работам, расчетным заданиям и курсовой работе. Рязань, РГРТУ–2015 г.,44 с. </w:t>
      </w:r>
      <w:hyperlink r:id="rId2">
        <w:r>
          <w:rPr>
            <w:rFonts w:cs="Times New Roman" w:ascii="Times New Roman" w:hAnsi="Times New Roman"/>
            <w:sz w:val="24"/>
            <w:szCs w:val="24"/>
          </w:rPr>
          <w:t>https://elib.rsreu.ru/ebs/download/1606</w:t>
        </w:r>
      </w:hyperlink>
      <w:r>
        <w:rPr>
          <w:rFonts w:cs="Times New Roman" w:ascii="Times New Roman" w:hAnsi="Times New Roman"/>
          <w:sz w:val="24"/>
          <w:szCs w:val="24"/>
        </w:rPr>
        <w:t xml:space="preserve">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 Литвинова В.С., Мещеряков Н.В. Синусоидальные режимы в длинных линиях. Часть I. Параметры, уравнения, режимы. Учебное пособие. Рязань, РГРТА–2005г., 24 с. </w:t>
      </w:r>
      <w:hyperlink r:id="rId3">
        <w:r>
          <w:rPr>
            <w:rFonts w:cs="Times New Roman" w:ascii="Times New Roman" w:hAnsi="Times New Roman"/>
            <w:sz w:val="24"/>
            <w:szCs w:val="24"/>
          </w:rPr>
          <w:t>https://elib.rsreu.ru/ebs/download/420</w:t>
        </w:r>
      </w:hyperlink>
      <w:r>
        <w:rPr>
          <w:rFonts w:cs="Times New Roman" w:ascii="Times New Roman" w:hAnsi="Times New Roman"/>
          <w:sz w:val="24"/>
          <w:szCs w:val="24"/>
        </w:rPr>
        <w:t xml:space="preserve"> </w:t>
      </w:r>
    </w:p>
    <w:sectPr>
      <w:footerReference w:type="default" r:id="rId4"/>
      <w:type w:val="nextPage"/>
      <w:pgSz w:w="11906" w:h="16838"/>
      <w:pgMar w:left="1701" w:right="850" w:header="0" w:top="1134" w:footer="708" w:bottom="1134"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4900224"/>
    </w:sdtPr>
    <w:sdtContent>
      <w:p>
        <w:pPr>
          <w:pStyle w:val="Style24"/>
          <w:jc w:val="center"/>
          <w:rPr/>
        </w:pPr>
        <w:r>
          <w:rPr/>
          <w:fldChar w:fldCharType="begin"/>
        </w:r>
        <w:r>
          <w:rPr/>
          <w:instrText> PAGE </w:instrText>
        </w:r>
        <w:r>
          <w:rPr/>
          <w:fldChar w:fldCharType="separate"/>
        </w:r>
        <w:r>
          <w:rPr/>
          <w:t>14</w:t>
        </w:r>
        <w:r>
          <w:rPr/>
          <w:fldChar w:fldCharType="end"/>
        </w:r>
      </w:p>
    </w:sdtContent>
  </w:sdt>
  <w:p>
    <w:pPr>
      <w:pStyle w:val="Style24"/>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0"/>
  <w:defaultTabStop w:val="142"/>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919ce"/>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3"/>
    <w:uiPriority w:val="99"/>
    <w:qFormat/>
    <w:rsid w:val="0039756d"/>
    <w:rPr/>
  </w:style>
  <w:style w:type="character" w:styleId="Style15" w:customStyle="1">
    <w:name w:val="Нижний колонтитул Знак"/>
    <w:basedOn w:val="DefaultParagraphFont"/>
    <w:link w:val="a5"/>
    <w:uiPriority w:val="99"/>
    <w:qFormat/>
    <w:rsid w:val="0039756d"/>
    <w:rPr/>
  </w:style>
  <w:style w:type="character" w:styleId="Style16">
    <w:name w:val="Интернет-ссылка"/>
    <w:basedOn w:val="DefaultParagraphFont"/>
    <w:uiPriority w:val="99"/>
    <w:unhideWhenUsed/>
    <w:rsid w:val="003711b6"/>
    <w:rPr>
      <w:color w:val="0563C1" w:themeColor="hyperlink"/>
      <w:u w:val="single"/>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Style22">
    <w:name w:val="Верхний и нижний колонтитулы"/>
    <w:basedOn w:val="Normal"/>
    <w:qFormat/>
    <w:pPr/>
    <w:rPr/>
  </w:style>
  <w:style w:type="paragraph" w:styleId="Style23">
    <w:name w:val="Header"/>
    <w:basedOn w:val="Normal"/>
    <w:link w:val="a4"/>
    <w:uiPriority w:val="99"/>
    <w:unhideWhenUsed/>
    <w:rsid w:val="0039756d"/>
    <w:pPr>
      <w:tabs>
        <w:tab w:val="clear" w:pos="142"/>
        <w:tab w:val="center" w:pos="4677" w:leader="none"/>
        <w:tab w:val="right" w:pos="9355" w:leader="none"/>
      </w:tabs>
      <w:spacing w:lineRule="auto" w:line="240" w:before="0" w:after="0"/>
    </w:pPr>
    <w:rPr/>
  </w:style>
  <w:style w:type="paragraph" w:styleId="Style24">
    <w:name w:val="Footer"/>
    <w:basedOn w:val="Normal"/>
    <w:link w:val="a6"/>
    <w:uiPriority w:val="99"/>
    <w:unhideWhenUsed/>
    <w:rsid w:val="0039756d"/>
    <w:pPr>
      <w:tabs>
        <w:tab w:val="clear" w:pos="142"/>
        <w:tab w:val="center" w:pos="4677" w:leader="none"/>
        <w:tab w:val="right" w:pos="9355" w:leader="none"/>
      </w:tabs>
      <w:spacing w:lineRule="auto" w:line="240" w:before="0" w:after="0"/>
    </w:pPr>
    <w:rPr/>
  </w:style>
  <w:style w:type="paragraph" w:styleId="NormalWeb">
    <w:name w:val="Normal (Web)"/>
    <w:basedOn w:val="Normal"/>
    <w:qFormat/>
    <w:pPr>
      <w:spacing w:lineRule="auto" w:line="240" w:before="280" w:afterAutospacing="1"/>
    </w:pPr>
    <w:rPr>
      <w:rFonts w:eastAsia="Calibri"/>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lib.rsreu.ru/ebs/download/1606" TargetMode="External"/><Relationship Id="rId3" Type="http://schemas.openxmlformats.org/officeDocument/2006/relationships/hyperlink" Target="https://elib.rsreu.ru/ebs/download/420"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22D73F-2BE4-4293-B5FF-ACA252BF2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LibreOffice/6.4.7.2$Windows_X86_64 LibreOffice_project/639b8ac485750d5696d7590a72ef1b496725cfb5</Application>
  <Pages>14</Pages>
  <Words>4275</Words>
  <Characters>30259</Characters>
  <CharactersWithSpaces>34556</CharactersWithSpaces>
  <Paragraphs>187</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2021-11-02T10:53:00Z</dcterms:created>
  <dc:creator>Лидия</dc:creator>
  <dc:description/>
  <dc:language>ru-RU</dc:language>
  <cp:lastModifiedBy/>
  <dcterms:modified xsi:type="dcterms:W3CDTF">2021-11-18T18:12:55Z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