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EB43F4" w:rsidRPr="00EB43F4" w:rsidRDefault="00EB43F4" w:rsidP="00EB43F4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EB43F4" w:rsidP="00EB43F4">
      <w:pPr>
        <w:spacing w:after="0" w:line="240" w:lineRule="auto"/>
        <w:jc w:val="center"/>
        <w:rPr>
          <w:caps/>
          <w:sz w:val="28"/>
          <w:szCs w:val="28"/>
        </w:rPr>
      </w:pPr>
      <w:r w:rsidRPr="00EB43F4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Pr="0096293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EB43F4" w:rsidRPr="00962932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EB43F4">
        <w:rPr>
          <w:b/>
          <w:sz w:val="28"/>
          <w:szCs w:val="28"/>
        </w:rPr>
        <w:t>Методы помехоустойчивого кодирования в</w:t>
      </w:r>
      <w:r w:rsidR="00962932">
        <w:rPr>
          <w:b/>
          <w:sz w:val="28"/>
          <w:szCs w:val="28"/>
        </w:rPr>
        <w:t xml:space="preserve"> РСПИ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EB43F4" w:rsidP="002F4FC7">
      <w:pPr>
        <w:jc w:val="center"/>
        <w:rPr>
          <w:sz w:val="28"/>
        </w:rPr>
      </w:pPr>
      <w:r>
        <w:rPr>
          <w:sz w:val="28"/>
        </w:rPr>
        <w:t>Специализация</w:t>
      </w:r>
      <w:r w:rsidR="002F4FC7" w:rsidRPr="001C5001">
        <w:rPr>
          <w:sz w:val="28"/>
        </w:rPr>
        <w:t xml:space="preserve"> – «Радио</w:t>
      </w:r>
      <w:r w:rsidR="00962932">
        <w:rPr>
          <w:sz w:val="28"/>
        </w:rPr>
        <w:t>электронные системы передачи информации</w:t>
      </w:r>
      <w:r w:rsidR="002F4FC7"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B3010C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E46845">
        <w:rPr>
          <w:rStyle w:val="aa"/>
          <w:color w:val="000000"/>
          <w:szCs w:val="24"/>
        </w:rPr>
        <w:t>сформированности</w:t>
      </w:r>
      <w:proofErr w:type="spellEnd"/>
      <w:r w:rsidRPr="00E46845">
        <w:rPr>
          <w:rStyle w:val="aa"/>
          <w:color w:val="000000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rPr>
          <w:trHeight w:val="136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rPr>
          <w:trHeight w:val="135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1C5001" w:rsidRPr="001C5001" w:rsidRDefault="001C5001" w:rsidP="001C5001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6034F0" w:rsidP="001C5001">
            <w:pPr>
              <w:jc w:val="center"/>
            </w:pPr>
            <w:r>
              <w:rPr>
                <w:lang w:eastAsia="ru-RU"/>
              </w:rPr>
              <w:t>ПК-4.2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 xml:space="preserve">Уровень освоения </w:t>
      </w:r>
      <w:proofErr w:type="spellStart"/>
      <w:r w:rsidRPr="00FD4748">
        <w:rPr>
          <w:szCs w:val="24"/>
        </w:rPr>
        <w:t>сформированности</w:t>
      </w:r>
      <w:proofErr w:type="spellEnd"/>
      <w:r w:rsidRPr="00FD4748">
        <w:rPr>
          <w:szCs w:val="24"/>
        </w:rPr>
        <w:t xml:space="preserve">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26594B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26594B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Дискретные сигналы на основе функций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Синтезаторы и модуляторы сигналов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45A98">
        <w:rPr>
          <w:b w:val="0"/>
          <w:bCs w:val="0"/>
          <w:i w:val="0"/>
          <w:iCs w:val="0"/>
        </w:rPr>
        <w:t>Режекция</w:t>
      </w:r>
      <w:proofErr w:type="spellEnd"/>
      <w:r w:rsidRPr="00645A98">
        <w:rPr>
          <w:b w:val="0"/>
          <w:bCs w:val="0"/>
          <w:i w:val="0"/>
          <w:iCs w:val="0"/>
        </w:rPr>
        <w:t xml:space="preserve">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Критерий максимума </w:t>
      </w:r>
      <w:proofErr w:type="spellStart"/>
      <w:r w:rsidRPr="00645A98">
        <w:rPr>
          <w:b w:val="0"/>
          <w:bCs w:val="0"/>
          <w:i w:val="0"/>
          <w:iCs w:val="0"/>
        </w:rPr>
        <w:t>энергоэффективности</w:t>
      </w:r>
      <w:proofErr w:type="spellEnd"/>
      <w:r w:rsidRPr="00645A98">
        <w:rPr>
          <w:b w:val="0"/>
          <w:bCs w:val="0"/>
          <w:i w:val="0"/>
          <w:iCs w:val="0"/>
        </w:rPr>
        <w:t>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Дискретные сигналы на основе функций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Синтезаторы и модуляторы сигналов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45A98">
        <w:rPr>
          <w:b w:val="0"/>
          <w:bCs w:val="0"/>
          <w:i w:val="0"/>
          <w:iCs w:val="0"/>
        </w:rPr>
        <w:t>Режекция</w:t>
      </w:r>
      <w:proofErr w:type="spellEnd"/>
      <w:r w:rsidRPr="00645A98">
        <w:rPr>
          <w:b w:val="0"/>
          <w:bCs w:val="0"/>
          <w:i w:val="0"/>
          <w:iCs w:val="0"/>
        </w:rPr>
        <w:t xml:space="preserve">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3523C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94B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2A38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034F0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62932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010C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B43F4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CF51B"/>
  <w14:defaultImageDpi w14:val="0"/>
  <w15:docId w15:val="{A808EA76-FCBA-4746-8639-18001DE1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1158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2022-12-02T13:58:00Z</dcterms:created>
  <dcterms:modified xsi:type="dcterms:W3CDTF">2023-07-04T07:10:00Z</dcterms:modified>
</cp:coreProperties>
</file>