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35E" w:rsidRDefault="004A135E" w:rsidP="004A135E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>МИНИСТЕРСТВО НАУКИ И ВЫСШЕГО ОБРАЗОВАНИЯ</w:t>
      </w:r>
    </w:p>
    <w:p w:rsidR="004A135E" w:rsidRDefault="004A135E" w:rsidP="004A135E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>РОССИЙСКОЙ ФЕДЕРАЦИИ</w:t>
      </w:r>
    </w:p>
    <w:p w:rsidR="004A135E" w:rsidRDefault="004A135E" w:rsidP="004A135E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>ФЕДЕРАЛЬНОЕ ГОСУДАРСТВЕННОЕ БЮДЖЕТНОЕ ОБРАЗОВАТЕЛЬНОЕ УЧРЕЖДЕНИЕ ВЫСШЕГО ОБРАЗОВАНИЯ</w:t>
      </w:r>
    </w:p>
    <w:p w:rsidR="004A135E" w:rsidRDefault="004A135E" w:rsidP="004A135E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 xml:space="preserve">«РЯЗАНСКИЙ ГОСУДАРСТВЕННЫЙ РАДИОТЕХНИЧЕСКИЙ УНИВЕРСИТЕТ </w:t>
      </w:r>
    </w:p>
    <w:p w:rsidR="004A135E" w:rsidRDefault="004A135E" w:rsidP="004A135E">
      <w:pPr>
        <w:pStyle w:val="a5"/>
        <w:widowControl w:val="0"/>
        <w:rPr>
          <w:rStyle w:val="1"/>
          <w:color w:val="000000"/>
        </w:rPr>
      </w:pPr>
      <w:r>
        <w:rPr>
          <w:rStyle w:val="1"/>
          <w:color w:val="000000"/>
        </w:rPr>
        <w:t>ИМЕНИ В.Ф. УТКИНА»</w:t>
      </w: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Кафедра «Автоматизация информационных и технологических процессов»</w:t>
      </w: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BC7B3E" w:rsidRDefault="00BC7B3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Pr="00BC7B3E" w:rsidRDefault="004A135E" w:rsidP="004A135E">
      <w:pPr>
        <w:pStyle w:val="a5"/>
        <w:widowControl w:val="0"/>
        <w:rPr>
          <w:rStyle w:val="1"/>
          <w:caps/>
          <w:color w:val="000000"/>
          <w:sz w:val="28"/>
          <w:szCs w:val="28"/>
        </w:rPr>
      </w:pPr>
      <w:r w:rsidRPr="00BC7B3E">
        <w:rPr>
          <w:rStyle w:val="1"/>
          <w:caps/>
          <w:color w:val="000000"/>
          <w:sz w:val="28"/>
          <w:szCs w:val="28"/>
        </w:rPr>
        <w:t>Оценочные материалы по дисциплине</w:t>
      </w:r>
    </w:p>
    <w:p w:rsidR="004A135E" w:rsidRPr="00BC7B3E" w:rsidRDefault="004A135E" w:rsidP="004A135E">
      <w:pPr>
        <w:pStyle w:val="a5"/>
        <w:widowControl w:val="0"/>
        <w:rPr>
          <w:rStyle w:val="1"/>
          <w:caps/>
          <w:color w:val="000000"/>
          <w:sz w:val="28"/>
          <w:szCs w:val="28"/>
        </w:rPr>
      </w:pPr>
    </w:p>
    <w:p w:rsidR="004A135E" w:rsidRPr="00BC7B3E" w:rsidRDefault="004A135E" w:rsidP="004A135E">
      <w:pPr>
        <w:pStyle w:val="a5"/>
        <w:widowControl w:val="0"/>
        <w:rPr>
          <w:rStyle w:val="1"/>
          <w:caps/>
          <w:color w:val="000000"/>
          <w:sz w:val="28"/>
          <w:szCs w:val="28"/>
        </w:rPr>
      </w:pPr>
      <w:r w:rsidRPr="00BC7B3E">
        <w:rPr>
          <w:b/>
          <w:caps/>
          <w:sz w:val="28"/>
          <w:szCs w:val="28"/>
          <w:lang w:eastAsia="ar-SA"/>
        </w:rPr>
        <w:t xml:space="preserve"> </w:t>
      </w:r>
      <w:r w:rsidRPr="00BC7B3E">
        <w:rPr>
          <w:rStyle w:val="1"/>
          <w:caps/>
          <w:color w:val="000000"/>
          <w:sz w:val="28"/>
          <w:szCs w:val="28"/>
        </w:rPr>
        <w:t>«</w:t>
      </w:r>
      <w:r w:rsidR="00BC7B3E" w:rsidRPr="00BC7B3E">
        <w:rPr>
          <w:b/>
          <w:caps/>
          <w:sz w:val="28"/>
          <w:szCs w:val="28"/>
          <w:lang w:eastAsia="ar-SA"/>
        </w:rPr>
        <w:t>Основы объектно-ориентированного программирования</w:t>
      </w:r>
      <w:r w:rsidRPr="00BC7B3E">
        <w:rPr>
          <w:rStyle w:val="1"/>
          <w:caps/>
          <w:color w:val="000000"/>
          <w:sz w:val="28"/>
          <w:szCs w:val="28"/>
        </w:rPr>
        <w:t>»</w:t>
      </w:r>
    </w:p>
    <w:p w:rsidR="004A135E" w:rsidRPr="00BC7B3E" w:rsidRDefault="004A135E" w:rsidP="004A135E">
      <w:pPr>
        <w:pStyle w:val="a5"/>
        <w:widowControl w:val="0"/>
        <w:rPr>
          <w:rStyle w:val="1"/>
          <w:caps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 xml:space="preserve">Направление </w:t>
      </w:r>
    </w:p>
    <w:p w:rsidR="004A135E" w:rsidRDefault="004A135E" w:rsidP="004A135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15.03.04 «АВТОМАТИЗАЦИЯ </w:t>
      </w:r>
      <w:proofErr w:type="gramStart"/>
      <w:r>
        <w:rPr>
          <w:rFonts w:ascii="Times New Roman" w:hAnsi="Times New Roman"/>
          <w:b/>
          <w:color w:val="000000"/>
          <w:sz w:val="24"/>
          <w:szCs w:val="24"/>
        </w:rPr>
        <w:t>ТЕХНОЛОГИЧЕСКИХ</w:t>
      </w:r>
      <w:proofErr w:type="gramEnd"/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4A135E" w:rsidRDefault="004A135E" w:rsidP="004A135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ПРОЦЕССОВ И ПРОИЗВОДСТВ»</w:t>
      </w:r>
    </w:p>
    <w:p w:rsidR="004A135E" w:rsidRDefault="004A135E" w:rsidP="004A135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A135E" w:rsidRPr="009870E1" w:rsidRDefault="004A135E" w:rsidP="004A135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870E1">
        <w:rPr>
          <w:rFonts w:ascii="Times New Roman" w:hAnsi="Times New Roman"/>
          <w:b/>
          <w:color w:val="000000"/>
          <w:sz w:val="24"/>
          <w:szCs w:val="24"/>
        </w:rPr>
        <w:t>ОПОП</w:t>
      </w:r>
    </w:p>
    <w:p w:rsidR="004A135E" w:rsidRDefault="004A135E" w:rsidP="004A135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«АВТОМАТИЗАЦИЯ ТЕХНОЛОГИЧЕСКИХ ПРОЦЕССОВ И ПРОИЗВОДСТВ»</w:t>
      </w:r>
    </w:p>
    <w:p w:rsidR="004A135E" w:rsidRDefault="004A135E" w:rsidP="004A135E">
      <w:pPr>
        <w:spacing w:after="0" w:line="240" w:lineRule="auto"/>
        <w:jc w:val="center"/>
        <w:rPr>
          <w:rFonts w:eastAsia="Times New Roman"/>
          <w:sz w:val="24"/>
          <w:szCs w:val="24"/>
          <w:lang w:eastAsia="ar-SA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BC7B3E" w:rsidRDefault="00BC7B3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BC7B3E" w:rsidRDefault="00BC7B3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br/>
      </w: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Квалификация выпускника - бакалавр</w:t>
      </w: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Форма обучения – очная, заочная</w:t>
      </w: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BC7B3E" w:rsidRDefault="00BC7B3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4A135E" w:rsidRDefault="004A135E" w:rsidP="004A135E">
      <w:pPr>
        <w:pStyle w:val="a5"/>
        <w:widowControl w:val="0"/>
        <w:rPr>
          <w:rStyle w:val="1"/>
          <w:color w:val="000000"/>
          <w:sz w:val="28"/>
          <w:szCs w:val="28"/>
        </w:rPr>
      </w:pPr>
    </w:p>
    <w:p w:rsidR="00BC7B3E" w:rsidRDefault="00BC7B3E" w:rsidP="00BC7B3E">
      <w:pPr>
        <w:pStyle w:val="a5"/>
        <w:widowControl w:val="0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Рязань 2022</w:t>
      </w:r>
    </w:p>
    <w:p w:rsidR="00BC7B3E" w:rsidRDefault="00BC7B3E" w:rsidP="00314A24">
      <w:pPr>
        <w:pStyle w:val="a4"/>
        <w:spacing w:line="240" w:lineRule="auto"/>
        <w:ind w:firstLine="708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p w:rsidR="00314A24" w:rsidRPr="003A48D4" w:rsidRDefault="00314A24" w:rsidP="00314A24">
      <w:pPr>
        <w:pStyle w:val="a4"/>
        <w:spacing w:line="240" w:lineRule="auto"/>
        <w:ind w:firstLine="708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Фонд оценочных средств – это совокупность учебно-методических материалов (контрольных заданий, описаний форм и процедур), предназначенных для оценки качества освоения </w:t>
      </w:r>
      <w:proofErr w:type="gramStart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данной дисциплины как части основной образовательной программы.</w:t>
      </w:r>
    </w:p>
    <w:p w:rsidR="00314A24" w:rsidRPr="003A48D4" w:rsidRDefault="00314A24" w:rsidP="00314A24">
      <w:pPr>
        <w:pStyle w:val="a4"/>
        <w:spacing w:line="240" w:lineRule="auto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       Цель – оценить соответствие знаний, умений и уровня приобретенных компетенций, обучающихся целям и требованиям основной  образовательной программы в ходе проведения текущего контроля и промежуточной аттестации.</w:t>
      </w:r>
    </w:p>
    <w:p w:rsidR="00314A24" w:rsidRPr="003A48D4" w:rsidRDefault="00314A24" w:rsidP="00314A24">
      <w:pPr>
        <w:pStyle w:val="a4"/>
        <w:spacing w:line="240" w:lineRule="auto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      Основная задача – обеспечить оценку уровня </w:t>
      </w:r>
      <w:proofErr w:type="spellStart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>сформированности</w:t>
      </w:r>
      <w:proofErr w:type="spellEnd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общекультурных и профессиональных компетенций, приобретаемых </w:t>
      </w:r>
      <w:proofErr w:type="gramStart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>обучающимся</w:t>
      </w:r>
      <w:proofErr w:type="gramEnd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в соответствии с этими требованиями.</w:t>
      </w:r>
    </w:p>
    <w:p w:rsidR="00314A24" w:rsidRPr="003A48D4" w:rsidRDefault="00314A24" w:rsidP="00314A24">
      <w:pPr>
        <w:pStyle w:val="a4"/>
        <w:spacing w:line="240" w:lineRule="auto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      Контроль знаний обучающихся проводится в форме текущего контроля </w:t>
      </w:r>
      <w:proofErr w:type="spellStart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>ипромежуточной</w:t>
      </w:r>
      <w:proofErr w:type="spellEnd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аттестации.</w:t>
      </w:r>
    </w:p>
    <w:p w:rsidR="00314A24" w:rsidRPr="003A48D4" w:rsidRDefault="00314A24" w:rsidP="00314A24">
      <w:pPr>
        <w:pStyle w:val="a4"/>
        <w:spacing w:line="240" w:lineRule="auto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      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314A24" w:rsidRPr="003A48D4" w:rsidRDefault="00314A24" w:rsidP="00314A24">
      <w:pPr>
        <w:pStyle w:val="a4"/>
        <w:spacing w:line="240" w:lineRule="auto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      К контролю текущей успеваемости относятся проверка знаний, умений и навыков обучающихся: на занятиях; по результатам выполнения </w:t>
      </w:r>
      <w:r w:rsid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>самостояте</w:t>
      </w:r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льной работы; по результатам выполнения </w:t>
      </w:r>
      <w:proofErr w:type="gramStart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индивидуальных заданий; по результатам проверки качества конспектов лекций и иных материалов. При оценивании (определении) результатов освоения дисциплины применяется традиционная система (отлично, хорошо, удовлетворительно, неудовлетворительно).</w:t>
      </w:r>
    </w:p>
    <w:p w:rsidR="00314A24" w:rsidRPr="003A48D4" w:rsidRDefault="00314A24" w:rsidP="00314A24">
      <w:pPr>
        <w:pStyle w:val="a4"/>
        <w:spacing w:line="240" w:lineRule="auto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           По итогам курса </w:t>
      </w:r>
      <w:proofErr w:type="gramStart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>обучающиеся</w:t>
      </w:r>
      <w:proofErr w:type="gramEnd"/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 сдают зачет. Форма проведения зачета – устный ответ, по утвержденным экзаменационным билетам, сформулированным с учетом содержания учебной дисциплины и решение на компьютере </w:t>
      </w:r>
      <w:r w:rsidRPr="003A48D4">
        <w:rPr>
          <w:rStyle w:val="a3"/>
          <w:rFonts w:ascii="Times New Roman" w:hAnsi="Times New Roman" w:cs="Times New Roman"/>
          <w:sz w:val="24"/>
          <w:szCs w:val="24"/>
        </w:rPr>
        <w:t>практической задачи создания программного приложения</w:t>
      </w:r>
      <w:r w:rsidRPr="003A48D4">
        <w:rPr>
          <w:rStyle w:val="a3"/>
          <w:rFonts w:ascii="Times New Roman" w:hAnsi="Times New Roman" w:cs="Times New Roman"/>
          <w:color w:val="000000"/>
          <w:sz w:val="24"/>
          <w:szCs w:val="24"/>
        </w:rPr>
        <w:t>. В экзаменационный билет включается два теоретических вопроса по темам курса и одно практическое задание.</w:t>
      </w:r>
    </w:p>
    <w:p w:rsidR="00314A24" w:rsidRDefault="00314A24" w:rsidP="00314A24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</w:p>
    <w:p w:rsidR="003A48D4" w:rsidRPr="00EC6911" w:rsidRDefault="003A48D4" w:rsidP="003A48D4">
      <w:pPr>
        <w:pStyle w:val="a4"/>
        <w:shd w:val="clear" w:color="auto" w:fill="auto"/>
        <w:spacing w:line="240" w:lineRule="auto"/>
        <w:ind w:firstLine="708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  <w:r w:rsidRPr="00EC6911">
        <w:rPr>
          <w:rStyle w:val="a3"/>
          <w:rFonts w:ascii="Times New Roman" w:hAnsi="Times New Roman" w:cs="Times New Roman"/>
          <w:color w:val="000000"/>
          <w:sz w:val="24"/>
          <w:szCs w:val="24"/>
        </w:rPr>
        <w:t xml:space="preserve">Паспорт фонда оценочных средств по дисциплине </w:t>
      </w:r>
    </w:p>
    <w:p w:rsidR="003A48D4" w:rsidRPr="00EC6911" w:rsidRDefault="003A48D4" w:rsidP="003A48D4">
      <w:pPr>
        <w:pStyle w:val="a4"/>
        <w:shd w:val="clear" w:color="auto" w:fill="auto"/>
        <w:spacing w:line="240" w:lineRule="auto"/>
        <w:ind w:firstLine="708"/>
        <w:jc w:val="both"/>
        <w:rPr>
          <w:rStyle w:val="a3"/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9327" w:type="dxa"/>
        <w:tblInd w:w="-5" w:type="dxa"/>
        <w:tblLayout w:type="fixed"/>
        <w:tblLook w:val="0000"/>
      </w:tblPr>
      <w:tblGrid>
        <w:gridCol w:w="674"/>
        <w:gridCol w:w="5535"/>
        <w:gridCol w:w="1559"/>
        <w:gridCol w:w="1559"/>
      </w:tblGrid>
      <w:tr w:rsidR="003A48D4" w:rsidRPr="00EC6911" w:rsidTr="00E376B8">
        <w:trPr>
          <w:cantSplit/>
          <w:trHeight w:val="517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suppressAutoHyphens/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69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C69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EC691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EC69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pStyle w:val="a5"/>
              <w:widowControl w:val="0"/>
            </w:pPr>
            <w:r w:rsidRPr="00EC6911">
              <w:rPr>
                <w:rStyle w:val="11"/>
                <w:color w:val="000000"/>
              </w:rPr>
              <w:t>Контролируемые разделы (темы) дисциплины</w:t>
            </w:r>
          </w:p>
          <w:p w:rsidR="003A48D4" w:rsidRPr="00EC6911" w:rsidRDefault="003A48D4" w:rsidP="00E376B8">
            <w:pPr>
              <w:pStyle w:val="2"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6911">
              <w:rPr>
                <w:rStyle w:val="11"/>
                <w:color w:val="000000"/>
                <w:sz w:val="24"/>
                <w:szCs w:val="24"/>
              </w:rPr>
              <w:t>(результаты по разделам)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pStyle w:val="a5"/>
              <w:widowControl w:val="0"/>
              <w:rPr>
                <w:b/>
                <w:bCs/>
                <w:color w:val="000000"/>
              </w:rPr>
            </w:pPr>
            <w:r w:rsidRPr="00EC6911">
              <w:rPr>
                <w:rStyle w:val="11"/>
                <w:color w:val="000000"/>
              </w:rPr>
              <w:t>Код контролируемой компетенции (или её части)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8D4" w:rsidRPr="003A48D4" w:rsidRDefault="003A48D4" w:rsidP="00E376B8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8D4">
              <w:rPr>
                <w:rFonts w:ascii="Times New Roman" w:hAnsi="Times New Roman" w:cs="Times New Roman"/>
                <w:sz w:val="24"/>
                <w:szCs w:val="24"/>
              </w:rPr>
              <w:t>Вид, метод, форма оценочного мероприятия</w:t>
            </w:r>
          </w:p>
        </w:tc>
      </w:tr>
      <w:tr w:rsidR="003A48D4" w:rsidRPr="00EC6911" w:rsidTr="00E376B8">
        <w:trPr>
          <w:cantSplit/>
          <w:trHeight w:val="517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48D4" w:rsidRPr="00EC6911" w:rsidRDefault="003A48D4" w:rsidP="00E376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48D4" w:rsidRPr="00EC6911" w:rsidRDefault="003A48D4" w:rsidP="00E376B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48D4" w:rsidRPr="00EC6911" w:rsidRDefault="003A48D4" w:rsidP="00E376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48D4" w:rsidRPr="00EC6911" w:rsidRDefault="003A48D4" w:rsidP="00E376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48D4" w:rsidRPr="00EC6911" w:rsidTr="00E376B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691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691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691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8D4" w:rsidRPr="00EC6911" w:rsidRDefault="003A48D4" w:rsidP="00E376B8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691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A48D4" w:rsidRPr="00EC6911" w:rsidTr="00E376B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suppressAutoHyphens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691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3A48D4" w:rsidRDefault="003A48D4" w:rsidP="003A48D4">
            <w:pPr>
              <w:tabs>
                <w:tab w:val="num" w:pos="540"/>
              </w:tabs>
              <w:jc w:val="both"/>
              <w:rPr>
                <w:rFonts w:ascii="Times New Roman" w:hAnsi="Times New Roman" w:cs="Times New Roman"/>
                <w:bCs/>
                <w:i/>
                <w:color w:val="000000"/>
                <w:spacing w:val="1"/>
                <w:sz w:val="24"/>
                <w:szCs w:val="24"/>
              </w:rPr>
            </w:pPr>
            <w:r w:rsidRPr="003A48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Основные понятия объектно-ориентированного программирования и приемы работы в среде визуального программирования  </w:t>
            </w:r>
            <w:proofErr w:type="spellStart"/>
            <w:r w:rsidRPr="003A48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Delphi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suppressAutoHyphens/>
              <w:snapToGrid w:val="0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238E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ОПК-14.1-З ОПК-14.1-У ОПК-14.1-В ОПК-14.2-З ОПК-14.2-У ОПК-14.2-В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8D4" w:rsidRPr="00EC6911" w:rsidRDefault="003A48D4" w:rsidP="00E376B8">
            <w:pPr>
              <w:suppressAutoHyphens/>
              <w:snapToGrid w:val="0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883">
              <w:rPr>
                <w:rFonts w:ascii="Times New Roman" w:hAnsi="Times New Roman" w:cs="Times New Roman"/>
                <w:sz w:val="20"/>
                <w:szCs w:val="20"/>
              </w:rPr>
              <w:t>Зачет</w:t>
            </w:r>
            <w:r w:rsidRPr="00EC691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0238E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Отчет по самостоятельной работе</w:t>
            </w:r>
          </w:p>
        </w:tc>
      </w:tr>
      <w:tr w:rsidR="003A48D4" w:rsidRPr="00EC6911" w:rsidTr="00E376B8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suppressAutoHyphens/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691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3A48D4" w:rsidRDefault="003A48D4" w:rsidP="00E376B8">
            <w:pPr>
              <w:tabs>
                <w:tab w:val="num" w:pos="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48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48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Визуальные компоненты для работы с массивами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A48D4" w:rsidRPr="00EC6911" w:rsidRDefault="003A48D4" w:rsidP="00E376B8">
            <w:pPr>
              <w:suppressAutoHyphens/>
              <w:snapToGrid w:val="0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238E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ОПК-14.1-З ОПК-14.1-У ОПК-14.1-В ОПК-14.2-З ОПК-14.2-У ОПК-14.2-В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8D4" w:rsidRPr="00EC6911" w:rsidRDefault="003A48D4" w:rsidP="003A48D4">
            <w:pPr>
              <w:suppressAutoHyphens/>
              <w:snapToGrid w:val="0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2883">
              <w:rPr>
                <w:rFonts w:ascii="Times New Roman" w:hAnsi="Times New Roman" w:cs="Times New Roman"/>
                <w:sz w:val="20"/>
                <w:szCs w:val="20"/>
              </w:rPr>
              <w:t>Зачет</w:t>
            </w:r>
            <w:r w:rsidRPr="00EC691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0238E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Отчет по самостоятельной работе</w:t>
            </w:r>
          </w:p>
        </w:tc>
      </w:tr>
    </w:tbl>
    <w:p w:rsidR="003A48D4" w:rsidRPr="00314A24" w:rsidRDefault="003A48D4" w:rsidP="00314A24">
      <w:pPr>
        <w:pStyle w:val="a4"/>
        <w:spacing w:line="240" w:lineRule="auto"/>
        <w:jc w:val="both"/>
        <w:rPr>
          <w:rStyle w:val="a3"/>
          <w:color w:val="000000"/>
          <w:sz w:val="24"/>
          <w:szCs w:val="24"/>
        </w:rPr>
      </w:pPr>
    </w:p>
    <w:p w:rsidR="00314A24" w:rsidRPr="00314A24" w:rsidRDefault="00314A24" w:rsidP="00314A24">
      <w:pPr>
        <w:pStyle w:val="70"/>
        <w:shd w:val="clear" w:color="auto" w:fill="auto"/>
        <w:tabs>
          <w:tab w:val="left" w:pos="646"/>
        </w:tabs>
        <w:spacing w:before="0" w:after="0" w:line="240" w:lineRule="auto"/>
        <w:ind w:left="646" w:firstLine="0"/>
        <w:jc w:val="center"/>
        <w:rPr>
          <w:rStyle w:val="7"/>
          <w:color w:val="000000"/>
          <w:sz w:val="24"/>
          <w:szCs w:val="24"/>
        </w:rPr>
      </w:pPr>
    </w:p>
    <w:p w:rsidR="00314A24" w:rsidRPr="003A48D4" w:rsidRDefault="00314A24" w:rsidP="00314A24">
      <w:pPr>
        <w:tabs>
          <w:tab w:val="left" w:pos="1138"/>
        </w:tabs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48D4">
        <w:rPr>
          <w:rFonts w:ascii="Times New Roman" w:hAnsi="Times New Roman" w:cs="Times New Roman"/>
          <w:b/>
          <w:sz w:val="24"/>
          <w:szCs w:val="24"/>
        </w:rPr>
        <w:t>Вопросы к зачету по дисциплине (модулю)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>Понятие объекта. Свойства, методы.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Панели компонентов </w:t>
      </w:r>
      <w:r w:rsidRPr="003A48D4">
        <w:rPr>
          <w:rFonts w:ascii="Times New Roman" w:hAnsi="Times New Roman" w:cs="Times New Roman"/>
          <w:sz w:val="24"/>
          <w:szCs w:val="24"/>
          <w:lang w:val="en-US"/>
        </w:rPr>
        <w:t>Delphi</w:t>
      </w:r>
      <w:r w:rsidRPr="003A48D4">
        <w:rPr>
          <w:rFonts w:ascii="Times New Roman" w:hAnsi="Times New Roman" w:cs="Times New Roman"/>
          <w:sz w:val="24"/>
          <w:szCs w:val="24"/>
        </w:rPr>
        <w:t xml:space="preserve">. Основные компоненты. 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>Форма как объект. Свойства формы и возможности их изменения.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>Структура программного модуля.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Компонент </w:t>
      </w:r>
      <w:r w:rsidRPr="003A48D4">
        <w:rPr>
          <w:rFonts w:ascii="Times New Roman" w:hAnsi="Times New Roman" w:cs="Times New Roman"/>
          <w:sz w:val="24"/>
          <w:szCs w:val="24"/>
          <w:lang w:val="en-US"/>
        </w:rPr>
        <w:t>Button</w:t>
      </w:r>
      <w:r w:rsidRPr="003A48D4">
        <w:rPr>
          <w:rFonts w:ascii="Times New Roman" w:hAnsi="Times New Roman" w:cs="Times New Roman"/>
          <w:sz w:val="24"/>
          <w:szCs w:val="24"/>
        </w:rPr>
        <w:t xml:space="preserve"> и его использование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Компонент </w:t>
      </w:r>
      <w:r w:rsidRPr="003A48D4">
        <w:rPr>
          <w:rFonts w:ascii="Times New Roman" w:hAnsi="Times New Roman" w:cs="Times New Roman"/>
          <w:sz w:val="24"/>
          <w:szCs w:val="24"/>
          <w:lang w:val="en-US"/>
        </w:rPr>
        <w:t>Edit</w:t>
      </w:r>
      <w:r w:rsidRPr="003A48D4">
        <w:rPr>
          <w:rFonts w:ascii="Times New Roman" w:hAnsi="Times New Roman" w:cs="Times New Roman"/>
          <w:sz w:val="24"/>
          <w:szCs w:val="24"/>
        </w:rPr>
        <w:t xml:space="preserve"> и его использование.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Компонент </w:t>
      </w:r>
      <w:r w:rsidRPr="003A48D4">
        <w:rPr>
          <w:rFonts w:ascii="Times New Roman" w:hAnsi="Times New Roman" w:cs="Times New Roman"/>
          <w:sz w:val="24"/>
          <w:szCs w:val="24"/>
          <w:lang w:val="en-US"/>
        </w:rPr>
        <w:t>Label</w:t>
      </w:r>
      <w:r w:rsidRPr="003A48D4">
        <w:rPr>
          <w:rFonts w:ascii="Times New Roman" w:hAnsi="Times New Roman" w:cs="Times New Roman"/>
          <w:sz w:val="24"/>
          <w:szCs w:val="24"/>
        </w:rPr>
        <w:t xml:space="preserve"> и его использование.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Компонент </w:t>
      </w:r>
      <w:proofErr w:type="spellStart"/>
      <w:r w:rsidRPr="003A48D4">
        <w:rPr>
          <w:rFonts w:ascii="Times New Roman" w:hAnsi="Times New Roman" w:cs="Times New Roman"/>
          <w:sz w:val="24"/>
          <w:szCs w:val="24"/>
          <w:lang w:val="en-US"/>
        </w:rPr>
        <w:t>CheckBox</w:t>
      </w:r>
      <w:proofErr w:type="spellEnd"/>
      <w:r w:rsidRPr="003A48D4">
        <w:rPr>
          <w:rFonts w:ascii="Times New Roman" w:hAnsi="Times New Roman" w:cs="Times New Roman"/>
          <w:sz w:val="24"/>
          <w:szCs w:val="24"/>
        </w:rPr>
        <w:t xml:space="preserve"> и его использование.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Функции преобразования числовых и символьных данных при использовании компонента </w:t>
      </w:r>
      <w:r w:rsidRPr="003A48D4">
        <w:rPr>
          <w:rFonts w:ascii="Times New Roman" w:hAnsi="Times New Roman" w:cs="Times New Roman"/>
          <w:sz w:val="24"/>
          <w:szCs w:val="24"/>
          <w:lang w:val="en-US"/>
        </w:rPr>
        <w:t>Edit</w:t>
      </w:r>
      <w:r w:rsidRPr="003A48D4">
        <w:rPr>
          <w:rFonts w:ascii="Times New Roman" w:hAnsi="Times New Roman" w:cs="Times New Roman"/>
          <w:sz w:val="24"/>
          <w:szCs w:val="24"/>
        </w:rPr>
        <w:t>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 Компонент </w:t>
      </w:r>
      <w:proofErr w:type="spellStart"/>
      <w:r w:rsidRPr="003A48D4">
        <w:rPr>
          <w:rFonts w:ascii="Times New Roman" w:hAnsi="Times New Roman" w:cs="Times New Roman"/>
          <w:sz w:val="24"/>
          <w:szCs w:val="24"/>
          <w:lang w:val="en-US"/>
        </w:rPr>
        <w:t>StringGrid</w:t>
      </w:r>
      <w:proofErr w:type="spellEnd"/>
      <w:r w:rsidRPr="003A48D4">
        <w:rPr>
          <w:rFonts w:ascii="Times New Roman" w:hAnsi="Times New Roman" w:cs="Times New Roman"/>
          <w:sz w:val="24"/>
          <w:szCs w:val="24"/>
        </w:rPr>
        <w:t xml:space="preserve"> и его использование.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 Ввод массивов с использованием компонентов.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 Вывод массивов.</w:t>
      </w:r>
    </w:p>
    <w:p w:rsidR="00314A24" w:rsidRPr="003A48D4" w:rsidRDefault="00314A24" w:rsidP="00314A24">
      <w:pPr>
        <w:numPr>
          <w:ilvl w:val="0"/>
          <w:numId w:val="1"/>
        </w:numPr>
        <w:shd w:val="clear" w:color="auto" w:fill="FFFFFF"/>
        <w:tabs>
          <w:tab w:val="left" w:pos="3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48D4">
        <w:rPr>
          <w:rFonts w:ascii="Times New Roman" w:hAnsi="Times New Roman" w:cs="Times New Roman"/>
          <w:sz w:val="24"/>
          <w:szCs w:val="24"/>
        </w:rPr>
        <w:t xml:space="preserve"> Диалоговые окна для ввода-вывода данных.</w:t>
      </w:r>
    </w:p>
    <w:p w:rsidR="00314A24" w:rsidRPr="003A48D4" w:rsidRDefault="00314A24" w:rsidP="00314A24">
      <w:pPr>
        <w:shd w:val="clear" w:color="auto" w:fill="FFFFFF"/>
        <w:tabs>
          <w:tab w:val="left" w:pos="326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CF6738" w:rsidRDefault="00CF6738" w:rsidP="00314A24">
      <w:pPr>
        <w:shd w:val="clear" w:color="auto" w:fill="FFFFFF"/>
        <w:tabs>
          <w:tab w:val="left" w:pos="326"/>
        </w:tabs>
        <w:spacing w:after="0" w:line="240" w:lineRule="auto"/>
        <w:ind w:left="720"/>
        <w:jc w:val="both"/>
        <w:rPr>
          <w:sz w:val="24"/>
          <w:szCs w:val="24"/>
        </w:rPr>
      </w:pPr>
    </w:p>
    <w:p w:rsidR="00CF6738" w:rsidRPr="00314A24" w:rsidRDefault="00CF6738" w:rsidP="00314A24">
      <w:pPr>
        <w:shd w:val="clear" w:color="auto" w:fill="FFFFFF"/>
        <w:tabs>
          <w:tab w:val="left" w:pos="326"/>
        </w:tabs>
        <w:spacing w:after="0" w:line="240" w:lineRule="auto"/>
        <w:ind w:left="720"/>
        <w:jc w:val="both"/>
        <w:rPr>
          <w:sz w:val="24"/>
          <w:szCs w:val="24"/>
        </w:rPr>
      </w:pPr>
    </w:p>
    <w:p w:rsidR="00314A24" w:rsidRPr="003A48D4" w:rsidRDefault="00314A24" w:rsidP="00314A24">
      <w:pPr>
        <w:spacing w:after="100" w:afterAutospacing="1" w:line="240" w:lineRule="auto"/>
        <w:jc w:val="center"/>
        <w:rPr>
          <w:rStyle w:val="21"/>
          <w:rFonts w:eastAsiaTheme="minorEastAsia"/>
          <w:b/>
          <w:color w:val="000000"/>
          <w:sz w:val="24"/>
          <w:szCs w:val="24"/>
        </w:rPr>
      </w:pPr>
      <w:r w:rsidRPr="003A48D4">
        <w:rPr>
          <w:rStyle w:val="21"/>
          <w:rFonts w:eastAsiaTheme="minorEastAsia"/>
          <w:b/>
          <w:color w:val="000000"/>
          <w:sz w:val="24"/>
          <w:szCs w:val="24"/>
        </w:rPr>
        <w:t>Критерии оценивания компетенций (результатов)</w:t>
      </w:r>
    </w:p>
    <w:p w:rsidR="003A48D4" w:rsidRDefault="00314A24" w:rsidP="003A48D4">
      <w:pPr>
        <w:spacing w:after="100" w:afterAutospacing="1" w:line="240" w:lineRule="auto"/>
        <w:ind w:right="57"/>
        <w:jc w:val="both"/>
        <w:rPr>
          <w:rStyle w:val="21"/>
          <w:rFonts w:eastAsiaTheme="minorEastAsia"/>
          <w:color w:val="000000"/>
          <w:sz w:val="24"/>
          <w:szCs w:val="24"/>
        </w:rPr>
      </w:pPr>
      <w:r w:rsidRPr="00314A24">
        <w:rPr>
          <w:rStyle w:val="21"/>
          <w:rFonts w:eastAsiaTheme="minorEastAsia"/>
          <w:color w:val="000000"/>
          <w:sz w:val="24"/>
          <w:szCs w:val="24"/>
        </w:rPr>
        <w:t>1). Уровень усвоения материала, предусмотренного программой.</w:t>
      </w:r>
    </w:p>
    <w:p w:rsidR="00314A24" w:rsidRPr="00314A24" w:rsidRDefault="00314A24" w:rsidP="003A48D4">
      <w:pPr>
        <w:spacing w:after="100" w:afterAutospacing="1" w:line="240" w:lineRule="auto"/>
        <w:ind w:right="57"/>
        <w:jc w:val="both"/>
        <w:rPr>
          <w:rStyle w:val="21"/>
          <w:rFonts w:eastAsiaTheme="minorEastAsia"/>
          <w:color w:val="000000"/>
          <w:sz w:val="24"/>
          <w:szCs w:val="24"/>
        </w:rPr>
      </w:pPr>
      <w:r w:rsidRPr="00314A24">
        <w:rPr>
          <w:rStyle w:val="21"/>
          <w:rFonts w:eastAsiaTheme="minorEastAsia"/>
          <w:color w:val="000000"/>
          <w:sz w:val="24"/>
          <w:szCs w:val="24"/>
        </w:rPr>
        <w:t>2). Умение анализировать материал, устанавливать причинно-следственные связи.</w:t>
      </w:r>
    </w:p>
    <w:p w:rsidR="00314A24" w:rsidRDefault="00314A24" w:rsidP="003A48D4">
      <w:pPr>
        <w:spacing w:after="0" w:line="240" w:lineRule="auto"/>
        <w:ind w:right="57"/>
        <w:jc w:val="both"/>
        <w:rPr>
          <w:rStyle w:val="21"/>
          <w:rFonts w:eastAsiaTheme="minorEastAsia"/>
          <w:color w:val="000000"/>
          <w:sz w:val="24"/>
          <w:szCs w:val="24"/>
        </w:rPr>
      </w:pPr>
      <w:r w:rsidRPr="00314A24">
        <w:rPr>
          <w:rStyle w:val="21"/>
          <w:rFonts w:eastAsiaTheme="minorEastAsia"/>
          <w:color w:val="000000"/>
          <w:sz w:val="24"/>
          <w:szCs w:val="24"/>
        </w:rPr>
        <w:t>3). Ответы на вопросы: полнота, аргументированность, убежденность, умение</w:t>
      </w:r>
    </w:p>
    <w:p w:rsidR="003A48D4" w:rsidRPr="00314A24" w:rsidRDefault="003A48D4" w:rsidP="003A48D4">
      <w:pPr>
        <w:spacing w:after="0" w:line="240" w:lineRule="auto"/>
        <w:ind w:right="57"/>
        <w:jc w:val="both"/>
        <w:rPr>
          <w:rStyle w:val="21"/>
          <w:rFonts w:eastAsiaTheme="minorEastAsia"/>
          <w:color w:val="000000"/>
          <w:sz w:val="24"/>
          <w:szCs w:val="24"/>
        </w:rPr>
      </w:pPr>
    </w:p>
    <w:p w:rsidR="00314A24" w:rsidRDefault="00314A24" w:rsidP="003A48D4">
      <w:pPr>
        <w:spacing w:after="0" w:line="240" w:lineRule="auto"/>
        <w:ind w:right="57"/>
        <w:jc w:val="both"/>
        <w:rPr>
          <w:rStyle w:val="21"/>
          <w:rFonts w:eastAsiaTheme="minorEastAsia"/>
          <w:color w:val="000000"/>
          <w:sz w:val="24"/>
          <w:szCs w:val="24"/>
        </w:rPr>
      </w:pPr>
      <w:r w:rsidRPr="00314A24">
        <w:rPr>
          <w:rStyle w:val="21"/>
          <w:rFonts w:eastAsiaTheme="minorEastAsia"/>
          <w:color w:val="000000"/>
          <w:sz w:val="24"/>
          <w:szCs w:val="24"/>
        </w:rPr>
        <w:t>4). Качество ответа (его общая композиция, логичность, убежденность, общая эрудиция)</w:t>
      </w:r>
    </w:p>
    <w:p w:rsidR="003A48D4" w:rsidRPr="00314A24" w:rsidRDefault="003A48D4" w:rsidP="003A48D4">
      <w:pPr>
        <w:spacing w:after="0" w:line="240" w:lineRule="auto"/>
        <w:ind w:right="57"/>
        <w:jc w:val="both"/>
        <w:rPr>
          <w:rStyle w:val="21"/>
          <w:rFonts w:eastAsiaTheme="minorEastAsia"/>
          <w:color w:val="000000"/>
          <w:sz w:val="24"/>
          <w:szCs w:val="24"/>
        </w:rPr>
      </w:pPr>
    </w:p>
    <w:p w:rsidR="00314A24" w:rsidRPr="00314A24" w:rsidRDefault="00314A24" w:rsidP="003A48D4">
      <w:pPr>
        <w:spacing w:after="0" w:line="240" w:lineRule="auto"/>
        <w:ind w:right="57"/>
        <w:jc w:val="both"/>
        <w:rPr>
          <w:rStyle w:val="21"/>
          <w:rFonts w:eastAsiaTheme="minorEastAsia"/>
          <w:color w:val="000000"/>
          <w:sz w:val="24"/>
          <w:szCs w:val="24"/>
        </w:rPr>
      </w:pPr>
      <w:r w:rsidRPr="00314A24">
        <w:rPr>
          <w:rStyle w:val="21"/>
          <w:rFonts w:eastAsiaTheme="minorEastAsia"/>
          <w:color w:val="000000"/>
          <w:sz w:val="24"/>
          <w:szCs w:val="24"/>
        </w:rPr>
        <w:t>5). Использование дополнительной литературы при подготовке ответов.</w:t>
      </w:r>
    </w:p>
    <w:p w:rsidR="005958A0" w:rsidRPr="00314A24" w:rsidRDefault="005958A0" w:rsidP="00314A24">
      <w:pPr>
        <w:spacing w:after="0"/>
        <w:rPr>
          <w:sz w:val="24"/>
          <w:szCs w:val="24"/>
        </w:rPr>
      </w:pPr>
    </w:p>
    <w:sectPr w:rsidR="005958A0" w:rsidRPr="00314A24" w:rsidSect="00314A24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D4902"/>
    <w:multiLevelType w:val="hybridMultilevel"/>
    <w:tmpl w:val="4D9A67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14A24"/>
    <w:rsid w:val="0020707A"/>
    <w:rsid w:val="00314A24"/>
    <w:rsid w:val="003A48D4"/>
    <w:rsid w:val="004A135E"/>
    <w:rsid w:val="005958A0"/>
    <w:rsid w:val="00BC7B3E"/>
    <w:rsid w:val="00CF6738"/>
    <w:rsid w:val="00D70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8A0"/>
  </w:style>
  <w:style w:type="paragraph" w:styleId="2">
    <w:name w:val="heading 2"/>
    <w:basedOn w:val="a"/>
    <w:next w:val="a"/>
    <w:link w:val="20"/>
    <w:qFormat/>
    <w:rsid w:val="003A48D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link w:val="a4"/>
    <w:locked/>
    <w:rsid w:val="00314A24"/>
    <w:rPr>
      <w:b/>
      <w:bCs/>
      <w:i/>
      <w:iCs/>
      <w:shd w:val="clear" w:color="auto" w:fill="FFFFFF"/>
    </w:rPr>
  </w:style>
  <w:style w:type="paragraph" w:customStyle="1" w:styleId="a4">
    <w:name w:val="Подпись к таблице"/>
    <w:basedOn w:val="a"/>
    <w:link w:val="a3"/>
    <w:rsid w:val="00314A24"/>
    <w:pPr>
      <w:widowControl w:val="0"/>
      <w:shd w:val="clear" w:color="auto" w:fill="FFFFFF"/>
      <w:spacing w:after="0" w:line="240" w:lineRule="atLeast"/>
    </w:pPr>
    <w:rPr>
      <w:b/>
      <w:bCs/>
      <w:i/>
      <w:iCs/>
      <w:shd w:val="clear" w:color="auto" w:fill="FFFFFF"/>
    </w:rPr>
  </w:style>
  <w:style w:type="character" w:customStyle="1" w:styleId="21">
    <w:name w:val="Основной текст (2)_"/>
    <w:basedOn w:val="a0"/>
    <w:rsid w:val="00314A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7">
    <w:name w:val="Основной текст (7)_"/>
    <w:basedOn w:val="a0"/>
    <w:link w:val="70"/>
    <w:locked/>
    <w:rsid w:val="00314A24"/>
    <w:rPr>
      <w:b/>
      <w:bCs/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rsid w:val="00314A24"/>
    <w:pPr>
      <w:widowControl w:val="0"/>
      <w:shd w:val="clear" w:color="auto" w:fill="FFFFFF"/>
      <w:spacing w:before="60" w:after="60" w:line="293" w:lineRule="exact"/>
      <w:ind w:hanging="540"/>
    </w:pPr>
    <w:rPr>
      <w:b/>
      <w:bCs/>
      <w:i/>
      <w:iCs/>
      <w:shd w:val="clear" w:color="auto" w:fill="FFFFFF"/>
    </w:rPr>
  </w:style>
  <w:style w:type="character" w:customStyle="1" w:styleId="20">
    <w:name w:val="Заголовок 2 Знак"/>
    <w:basedOn w:val="a0"/>
    <w:link w:val="2"/>
    <w:rsid w:val="003A48D4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5">
    <w:name w:val="Body Text"/>
    <w:basedOn w:val="a"/>
    <w:link w:val="a6"/>
    <w:rsid w:val="003A48D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3A48D4"/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 + 11"/>
    <w:aliases w:val="5 pt6,Не полужирный"/>
    <w:basedOn w:val="a0"/>
    <w:rsid w:val="003A48D4"/>
    <w:rPr>
      <w:rFonts w:ascii="Times New Roman" w:hAnsi="Times New Roman" w:cs="Times New Roman"/>
      <w:sz w:val="23"/>
      <w:szCs w:val="23"/>
      <w:u w:val="none"/>
    </w:rPr>
  </w:style>
  <w:style w:type="character" w:customStyle="1" w:styleId="1">
    <w:name w:val="Основной текст Знак1"/>
    <w:rsid w:val="004A135E"/>
    <w:rPr>
      <w:rFonts w:ascii="Times New Roman" w:hAnsi="Times New Roman" w:cs="Times New Roman" w:hint="default"/>
      <w:b/>
      <w:bCs/>
      <w:strike w:val="0"/>
      <w:dstrike w:val="0"/>
      <w:sz w:val="26"/>
      <w:szCs w:val="26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623</Words>
  <Characters>3555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AITP-N5</dc:creator>
  <cp:lastModifiedBy>AITP-N5</cp:lastModifiedBy>
  <cp:revision>5</cp:revision>
  <dcterms:created xsi:type="dcterms:W3CDTF">2021-07-02T12:59:00Z</dcterms:created>
  <dcterms:modified xsi:type="dcterms:W3CDTF">2022-10-27T10:10:00Z</dcterms:modified>
</cp:coreProperties>
</file>