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               Министерство НАУКИ И ВЫСШЕГО ОБРАЗОВАНИЯ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6D69C2" w:rsidRPr="00906BD4" w:rsidRDefault="006D69C2" w:rsidP="006D69C2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D69C2" w:rsidRPr="00906BD4" w:rsidTr="00E1546E">
        <w:tc>
          <w:tcPr>
            <w:tcW w:w="4392" w:type="dxa"/>
          </w:tcPr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6D69C2" w:rsidRPr="00906BD4" w:rsidRDefault="006D69C2" w:rsidP="006D69C2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6D69C2" w:rsidRDefault="006D69C2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 xml:space="preserve"> «</w:t>
      </w:r>
      <w:r w:rsidR="00E15A27" w:rsidRPr="00E15A27">
        <w:rPr>
          <w:rFonts w:eastAsia="TimesNewRomanPSMT"/>
          <w:b/>
          <w:kern w:val="1"/>
          <w:sz w:val="28"/>
          <w:szCs w:val="28"/>
          <w:lang w:eastAsia="ar-SA"/>
        </w:rPr>
        <w:t>Защита мультимедийного трафика в системах передачи информации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E15A27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906BD4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E15A27" w:rsidRDefault="00E15A27" w:rsidP="00E15A27">
      <w:pPr>
        <w:spacing w:line="360" w:lineRule="auto"/>
        <w:jc w:val="center"/>
        <w:rPr>
          <w:kern w:val="1"/>
          <w:sz w:val="28"/>
          <w:szCs w:val="28"/>
          <w:lang w:eastAsia="ru-RU"/>
        </w:rPr>
      </w:pPr>
      <w:r w:rsidRPr="00E15A27">
        <w:rPr>
          <w:kern w:val="1"/>
          <w:sz w:val="28"/>
          <w:szCs w:val="28"/>
          <w:lang w:eastAsia="ru-RU"/>
        </w:rPr>
        <w:t xml:space="preserve">Специальность 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proofErr w:type="gramStart"/>
      <w:r w:rsidRPr="00E15A27">
        <w:rPr>
          <w:kern w:val="1"/>
          <w:sz w:val="28"/>
          <w:szCs w:val="28"/>
          <w:lang w:eastAsia="ru-RU"/>
        </w:rPr>
        <w:t>11.05.01  Радиоэлектронные</w:t>
      </w:r>
      <w:proofErr w:type="gramEnd"/>
      <w:r w:rsidRPr="00E15A27">
        <w:rPr>
          <w:kern w:val="1"/>
          <w:sz w:val="28"/>
          <w:szCs w:val="28"/>
          <w:lang w:eastAsia="ru-RU"/>
        </w:rPr>
        <w:t xml:space="preserve"> системы и комплексы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sz w:val="28"/>
          <w:szCs w:val="28"/>
          <w:lang w:eastAsia="ru-RU"/>
        </w:rPr>
        <w:t xml:space="preserve">ОПОП </w:t>
      </w:r>
      <w:proofErr w:type="spellStart"/>
      <w:r w:rsidRPr="00E15A27">
        <w:rPr>
          <w:sz w:val="28"/>
          <w:szCs w:val="28"/>
          <w:lang w:eastAsia="ru-RU"/>
        </w:rPr>
        <w:t>специалитета</w:t>
      </w:r>
      <w:proofErr w:type="spellEnd"/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«Радиоэлектронные системы передачи информации»</w:t>
      </w:r>
    </w:p>
    <w:p w:rsidR="00E15A27" w:rsidRPr="00E15A27" w:rsidRDefault="00E15A27" w:rsidP="00E15A27">
      <w:pPr>
        <w:autoSpaceDE w:val="0"/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autoSpaceDE w:val="0"/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Квалификация выпускника – специалист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Форма обучения – очная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C27AAE">
        <w:rPr>
          <w:rFonts w:eastAsia="TimesNewRomanPSMT"/>
          <w:kern w:val="1"/>
          <w:sz w:val="28"/>
          <w:szCs w:val="28"/>
          <w:lang w:eastAsia="ar-SA"/>
        </w:rPr>
        <w:t>3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6D69C2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 xml:space="preserve">Фонд оценочных </w:t>
      </w:r>
      <w:proofErr w:type="gramStart"/>
      <w:r w:rsidRPr="00906BD4">
        <w:rPr>
          <w:kern w:val="1"/>
          <w:sz w:val="28"/>
          <w:szCs w:val="28"/>
          <w:lang w:eastAsia="ar-SA"/>
        </w:rPr>
        <w:t>средств  -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Основная задача — обеспечить оценку уровня </w:t>
      </w:r>
      <w:proofErr w:type="spellStart"/>
      <w:r w:rsidRPr="00906BD4">
        <w:rPr>
          <w:kern w:val="1"/>
          <w:sz w:val="28"/>
          <w:szCs w:val="28"/>
          <w:lang w:eastAsia="ar-SA"/>
        </w:rPr>
        <w:t>сформированности</w:t>
      </w:r>
      <w:proofErr w:type="spellEnd"/>
      <w:r w:rsidRPr="00906BD4">
        <w:rPr>
          <w:kern w:val="1"/>
          <w:sz w:val="28"/>
          <w:szCs w:val="28"/>
          <w:lang w:eastAsia="ar-SA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Контроль </w:t>
      </w:r>
      <w:proofErr w:type="gramStart"/>
      <w:r w:rsidRPr="00906BD4">
        <w:rPr>
          <w:kern w:val="1"/>
          <w:sz w:val="28"/>
          <w:szCs w:val="28"/>
          <w:lang w:eastAsia="ar-SA"/>
        </w:rPr>
        <w:t>знаний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6D69C2" w:rsidRPr="00906BD4" w:rsidRDefault="006D69C2" w:rsidP="006D69C2">
      <w:pPr>
        <w:widowControl w:val="0"/>
        <w:spacing w:line="300" w:lineRule="auto"/>
        <w:ind w:firstLine="68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6D69C2" w:rsidRPr="00906BD4" w:rsidRDefault="006D69C2" w:rsidP="006D69C2">
      <w:pPr>
        <w:widowControl w:val="0"/>
        <w:shd w:val="clear" w:color="auto" w:fill="FFFFFF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    1. Паспорт фонда оценочных средств по дисциплине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984"/>
        <w:gridCol w:w="1701"/>
      </w:tblGrid>
      <w:tr w:rsidR="006D69C2" w:rsidRPr="00906BD4" w:rsidTr="00E1546E">
        <w:trPr>
          <w:cantSplit/>
          <w:trHeight w:val="1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№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     Контролируемые разделы (темы)</w:t>
            </w:r>
          </w:p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color w:val="4F81BD"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дисциплины (результаты по разделам)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Код контролируе</w:t>
            </w:r>
            <w:r w:rsidRPr="00906BD4">
              <w:rPr>
                <w:b/>
                <w:kern w:val="1"/>
                <w:lang w:eastAsia="ar-SA"/>
              </w:rPr>
              <w:softHyphen/>
              <w:t>мой компетенции (или ее части)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Вид, метод, форма оценоч</w:t>
            </w:r>
            <w:r w:rsidRPr="00906BD4">
              <w:rPr>
                <w:b/>
                <w:kern w:val="1"/>
                <w:lang w:eastAsia="ar-SA"/>
              </w:rPr>
              <w:softHyphen/>
              <w:t>ного мероприя</w:t>
            </w:r>
            <w:r w:rsidRPr="00906BD4">
              <w:rPr>
                <w:b/>
                <w:kern w:val="1"/>
                <w:lang w:eastAsia="ar-SA"/>
              </w:rPr>
              <w:softHyphen/>
              <w:t>тия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0" w:right="-214"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                  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4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  <w:r w:rsidRPr="00ED4C72">
              <w:rPr>
                <w:bCs/>
                <w:sz w:val="28"/>
                <w:szCs w:val="28"/>
              </w:rPr>
              <w:t>Введение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300" w:lineRule="auto"/>
              <w:ind w:firstLine="76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DB37E9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val="en-US"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 w:rsidR="00556AE4"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Объекты информационной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highlight w:val="yellow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highlight w:val="yellow"/>
                <w:lang w:eastAsia="ar-SA"/>
              </w:rPr>
              <w:t>Компьютерная криминалистика.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line="300" w:lineRule="auto"/>
              <w:ind w:firstLine="760"/>
              <w:jc w:val="both"/>
              <w:rPr>
                <w:i/>
                <w:color w:val="000000"/>
                <w:spacing w:val="1"/>
                <w:kern w:val="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Технические средства  охраны</w:t>
            </w:r>
            <w:r w:rsidRPr="00ED4C72">
              <w:rPr>
                <w:color w:val="000000"/>
                <w:sz w:val="28"/>
                <w:szCs w:val="28"/>
              </w:rPr>
              <w:t xml:space="preserve"> объектов </w:t>
            </w:r>
            <w:proofErr w:type="spellStart"/>
            <w:r w:rsidRPr="00ED4C72">
              <w:rPr>
                <w:color w:val="000000"/>
                <w:sz w:val="28"/>
                <w:szCs w:val="28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Технические каналы утечки информации</w:t>
            </w:r>
            <w:r w:rsidRPr="00DB37E9">
              <w:rPr>
                <w:kern w:val="1"/>
                <w:lang w:eastAsia="ar-SA"/>
              </w:rPr>
              <w:tab/>
            </w:r>
            <w:r w:rsidRPr="00DB37E9">
              <w:rPr>
                <w:kern w:val="1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 xml:space="preserve">Методология проектирования и моделирования инженерно-технической   защиты объектов </w:t>
            </w:r>
            <w:proofErr w:type="spellStart"/>
            <w:r w:rsidRPr="00DB37E9">
              <w:rPr>
                <w:kern w:val="1"/>
                <w:lang w:eastAsia="ar-SA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Заключение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</w:tbl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2. Критерии оценивания компетенций (результатов)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1)  Уровень освоения материала, предусмотренного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2) Умение анализировать изучаемый материал, устанавливать причинно-следственные связи.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3)  Умение излагать основной смысл изучаемых понятий и наблюдае</w:t>
      </w:r>
      <w:r w:rsidRPr="00906BD4">
        <w:rPr>
          <w:kern w:val="1"/>
          <w:sz w:val="28"/>
          <w:szCs w:val="28"/>
          <w:lang w:eastAsia="ar-SA"/>
        </w:rPr>
        <w:softHyphen/>
        <w:t>мых процессов.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4)  Практические навыки расчетов, анализа, разработки программ.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Отлично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Хорошо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Удовлетворительно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>«</w:t>
      </w:r>
      <w:r w:rsidRPr="00906BD4">
        <w:rPr>
          <w:b/>
          <w:kern w:val="1"/>
          <w:sz w:val="28"/>
          <w:szCs w:val="28"/>
          <w:lang w:eastAsia="ar-SA"/>
        </w:rPr>
        <w:t>Неудовлетворительно</w:t>
      </w:r>
      <w:r w:rsidRPr="00906BD4">
        <w:rPr>
          <w:kern w:val="1"/>
          <w:sz w:val="28"/>
          <w:szCs w:val="28"/>
          <w:lang w:eastAsia="ar-SA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3. Типовые контрольные мероприятия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3.1. При</w:t>
      </w:r>
      <w:r>
        <w:rPr>
          <w:b/>
          <w:kern w:val="1"/>
          <w:sz w:val="28"/>
          <w:szCs w:val="28"/>
          <w:lang w:eastAsia="ar-SA"/>
        </w:rPr>
        <w:t xml:space="preserve">меры заданий для практических занятий </w:t>
      </w:r>
      <w:r w:rsidRPr="00906BD4">
        <w:rPr>
          <w:b/>
          <w:kern w:val="1"/>
          <w:sz w:val="28"/>
          <w:szCs w:val="28"/>
          <w:lang w:eastAsia="ar-SA"/>
        </w:rPr>
        <w:t xml:space="preserve"> </w:t>
      </w:r>
    </w:p>
    <w:p w:rsidR="006D69C2" w:rsidRDefault="006D69C2" w:rsidP="006D69C2">
      <w:pPr>
        <w:widowControl w:val="0"/>
        <w:spacing w:line="300" w:lineRule="auto"/>
        <w:ind w:left="30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Раздел 1.  </w:t>
      </w:r>
      <w:r>
        <w:rPr>
          <w:b/>
          <w:kern w:val="1"/>
          <w:sz w:val="28"/>
          <w:szCs w:val="28"/>
          <w:lang w:eastAsia="ar-SA"/>
        </w:rPr>
        <w:t>Оценка защищенности систем связи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 w:rsidRPr="00906BD4">
        <w:rPr>
          <w:kern w:val="1"/>
          <w:sz w:val="28"/>
          <w:szCs w:val="20"/>
          <w:lang w:eastAsia="ar-SA"/>
        </w:rPr>
        <w:t xml:space="preserve">Цель: </w:t>
      </w:r>
      <w:r>
        <w:rPr>
          <w:kern w:val="1"/>
          <w:sz w:val="28"/>
          <w:szCs w:val="20"/>
          <w:lang w:eastAsia="ar-SA"/>
        </w:rPr>
        <w:t xml:space="preserve">Разработка и исследование </w:t>
      </w:r>
      <w:proofErr w:type="gramStart"/>
      <w:r>
        <w:rPr>
          <w:kern w:val="1"/>
          <w:sz w:val="28"/>
          <w:szCs w:val="20"/>
          <w:lang w:eastAsia="ar-SA"/>
        </w:rPr>
        <w:t>защищенности  систем</w:t>
      </w:r>
      <w:proofErr w:type="gramEnd"/>
      <w:r>
        <w:rPr>
          <w:kern w:val="1"/>
          <w:sz w:val="28"/>
          <w:szCs w:val="20"/>
          <w:lang w:eastAsia="ar-SA"/>
        </w:rPr>
        <w:t xml:space="preserve"> передачи информации.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>Оценить защищенность систем передачи информации по различным известным стандартам передачи данных на основе используемых методов модуляции</w:t>
      </w:r>
    </w:p>
    <w:p w:rsidR="006D69C2" w:rsidRPr="007627AC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 xml:space="preserve">Варианты </w:t>
      </w:r>
      <w:proofErr w:type="gramStart"/>
      <w:r>
        <w:rPr>
          <w:kern w:val="1"/>
          <w:sz w:val="28"/>
          <w:szCs w:val="20"/>
          <w:lang w:eastAsia="ar-SA"/>
        </w:rPr>
        <w:t>заданий :</w:t>
      </w:r>
      <w:proofErr w:type="gramEnd"/>
      <w:r>
        <w:rPr>
          <w:kern w:val="1"/>
          <w:sz w:val="28"/>
          <w:szCs w:val="20"/>
          <w:lang w:eastAsia="ar-SA"/>
        </w:rPr>
        <w:t xml:space="preserve"> стандарт </w:t>
      </w:r>
      <w:r>
        <w:rPr>
          <w:kern w:val="1"/>
          <w:sz w:val="28"/>
          <w:szCs w:val="20"/>
          <w:lang w:val="en-US" w:eastAsia="ar-SA"/>
        </w:rPr>
        <w:t>GSM</w:t>
      </w:r>
      <w:r w:rsidRPr="007627AC">
        <w:rPr>
          <w:kern w:val="1"/>
          <w:sz w:val="28"/>
          <w:szCs w:val="20"/>
          <w:lang w:eastAsia="ar-SA"/>
        </w:rPr>
        <w:t xml:space="preserve">, </w:t>
      </w:r>
      <w:r>
        <w:rPr>
          <w:kern w:val="1"/>
          <w:sz w:val="28"/>
          <w:szCs w:val="20"/>
          <w:lang w:eastAsia="ar-SA"/>
        </w:rPr>
        <w:t xml:space="preserve">стандарт </w:t>
      </w:r>
      <w:r>
        <w:rPr>
          <w:kern w:val="1"/>
          <w:sz w:val="28"/>
          <w:szCs w:val="20"/>
          <w:lang w:val="en-US" w:eastAsia="ar-SA"/>
        </w:rPr>
        <w:t>LTE</w:t>
      </w:r>
      <w:r>
        <w:rPr>
          <w:kern w:val="1"/>
          <w:sz w:val="28"/>
          <w:szCs w:val="20"/>
          <w:lang w:eastAsia="ar-SA"/>
        </w:rPr>
        <w:t xml:space="preserve">,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E72861" w:rsidRPr="002F50F0" w:rsidRDefault="00E72861" w:rsidP="00E72861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</w:t>
      </w:r>
      <w:r>
        <w:rPr>
          <w:b/>
          <w:kern w:val="1"/>
          <w:sz w:val="28"/>
          <w:szCs w:val="28"/>
          <w:lang w:eastAsia="ar-SA"/>
        </w:rPr>
        <w:t>2</w:t>
      </w:r>
      <w:r w:rsidRPr="002F50F0">
        <w:rPr>
          <w:b/>
          <w:kern w:val="1"/>
          <w:sz w:val="28"/>
          <w:szCs w:val="28"/>
          <w:lang w:eastAsia="ar-SA"/>
        </w:rPr>
        <w:t xml:space="preserve"> </w:t>
      </w:r>
      <w:r w:rsidRPr="00E72861">
        <w:rPr>
          <w:b/>
          <w:kern w:val="1"/>
          <w:sz w:val="28"/>
          <w:szCs w:val="28"/>
          <w:lang w:eastAsia="ar-SA"/>
        </w:rPr>
        <w:t>Вопросы для текущей аттестации</w:t>
      </w:r>
    </w:p>
    <w:p w:rsidR="00E72861" w:rsidRPr="00E72861" w:rsidRDefault="00E72861" w:rsidP="00E72861">
      <w:pPr>
        <w:pStyle w:val="a3"/>
        <w:numPr>
          <w:ilvl w:val="0"/>
          <w:numId w:val="1"/>
        </w:numPr>
        <w:rPr>
          <w:sz w:val="28"/>
        </w:rPr>
      </w:pPr>
      <w:r w:rsidRPr="00E72861">
        <w:rPr>
          <w:rFonts w:eastAsia="Arial" w:cs="Arial"/>
          <w:sz w:val="28"/>
          <w:szCs w:val="28"/>
        </w:rPr>
        <w:t xml:space="preserve">Какое требование не предъявляется </w:t>
      </w:r>
      <w:r w:rsidRPr="00E72861">
        <w:rPr>
          <w:sz w:val="28"/>
        </w:rPr>
        <w:t>к информации с точки зрения информационной безопасности?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589D">
        <w:rPr>
          <w:sz w:val="28"/>
          <w:szCs w:val="28"/>
        </w:rPr>
        <w:t xml:space="preserve">Какие категории предъявляются к информационным системам </w:t>
      </w:r>
      <w:r w:rsidRPr="0056589D">
        <w:rPr>
          <w:sz w:val="28"/>
        </w:rPr>
        <w:t>с точки зрения информационной безопасности</w:t>
      </w:r>
      <w:r w:rsidRPr="0056589D">
        <w:rPr>
          <w:sz w:val="28"/>
          <w:szCs w:val="28"/>
        </w:rPr>
        <w:t>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Что является самым распространенным способом несанкционированного получения информации?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Какие устройства не относятся к основным классам устройств защиты речевой информации в телекоммуникационных системах?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</w:rPr>
      </w:pPr>
      <w:r w:rsidRPr="0056589D">
        <w:rPr>
          <w:sz w:val="28"/>
        </w:rPr>
        <w:t>Какой наиболее простой способ получения речевой информации в телекоммуникационных системах?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 xml:space="preserve">Какое соединение наиболее легко </w:t>
      </w:r>
      <w:r w:rsidRPr="0056589D">
        <w:rPr>
          <w:sz w:val="28"/>
          <w:szCs w:val="28"/>
        </w:rPr>
        <w:t>прослушивается подключаемыми</w:t>
      </w:r>
      <w:r w:rsidRPr="0056589D">
        <w:rPr>
          <w:sz w:val="28"/>
          <w:szCs w:val="28"/>
        </w:rPr>
        <w:t xml:space="preserve"> извне устройствами? 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 xml:space="preserve">Какое соединение наиболее трудно </w:t>
      </w:r>
      <w:r w:rsidRPr="0056589D">
        <w:rPr>
          <w:sz w:val="28"/>
          <w:szCs w:val="28"/>
        </w:rPr>
        <w:t>прослушивается подключаемыми</w:t>
      </w:r>
      <w:r w:rsidRPr="0056589D">
        <w:rPr>
          <w:sz w:val="28"/>
          <w:szCs w:val="28"/>
        </w:rPr>
        <w:t xml:space="preserve"> извне устройствами? 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Какие напряжения информационных сигналов возникают в элементах звонковой цепи при положенной трубке?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lastRenderedPageBreak/>
        <w:t>Устройство закрытия речи помехой.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На каком расстоянии возможен перехват возникающих в элементах звонковой цепи информационных сигналов?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Куда включается низкочастотный усилитель для увеличения дальности перехвата?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В чем заключается метод «высокочастотного навязывания»?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Виды угроз безопасности телефонной линии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Какая дальность перехвата информации при использовании метода «высокочастотного навязывания»?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Какая дальность перехвата информации при использовании проводных микрофонных систем?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 xml:space="preserve">Основные методы защиты речевой информации с помощью алгоритмов </w:t>
      </w:r>
      <w:proofErr w:type="spellStart"/>
      <w:r w:rsidRPr="00F914C8">
        <w:rPr>
          <w:sz w:val="28"/>
          <w:szCs w:val="28"/>
        </w:rPr>
        <w:t>стеганогорафии</w:t>
      </w:r>
      <w:proofErr w:type="spellEnd"/>
      <w:r w:rsidRPr="00F914C8">
        <w:rPr>
          <w:sz w:val="28"/>
          <w:szCs w:val="28"/>
        </w:rPr>
        <w:t xml:space="preserve"> и речевой подписи.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Какая дальность перехвата информации при использовании устройств типа «телефонное ухо»?</w:t>
      </w:r>
    </w:p>
    <w:p w:rsidR="00E72861" w:rsidRPr="00F914C8" w:rsidRDefault="00E72861" w:rsidP="00E72861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Какая дальность перехвата информации при использовании передачи информации по высокочастотной линии?</w:t>
      </w:r>
    </w:p>
    <w:p w:rsid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Какая из телефонных угроз представляет наибольшую опасность?</w:t>
      </w:r>
    </w:p>
    <w:p w:rsid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Для каких</w:t>
      </w:r>
      <w:r w:rsidRPr="0056589D">
        <w:rPr>
          <w:sz w:val="28"/>
          <w:szCs w:val="28"/>
        </w:rPr>
        <w:t xml:space="preserve"> систем передачи вероятность прослушивания наибольшая?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К какому уровню защиты относится маскировка речи?</w:t>
      </w:r>
    </w:p>
    <w:p w:rsid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61F4D">
        <w:rPr>
          <w:sz w:val="28"/>
          <w:szCs w:val="28"/>
        </w:rPr>
        <w:t>На какое время рассчитан средний уровень защиты информации?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>Чем ограничен уровень вносимого в линию шума в устройстве закрытия речи помехой?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56589D">
        <w:rPr>
          <w:sz w:val="28"/>
          <w:szCs w:val="28"/>
        </w:rPr>
        <w:t>Какой критерий используется в качестве объективных показателей оценки информационного содержания?</w:t>
      </w:r>
    </w:p>
    <w:p w:rsid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30986">
        <w:rPr>
          <w:sz w:val="28"/>
          <w:szCs w:val="28"/>
        </w:rPr>
        <w:t>Какой из алгоритмов маскирования обеспечивает наибольшее количество ключей?</w:t>
      </w:r>
    </w:p>
    <w:p w:rsidR="0056589D" w:rsidRPr="0056589D" w:rsidRDefault="0056589D" w:rsidP="005658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6589D">
        <w:rPr>
          <w:sz w:val="28"/>
          <w:szCs w:val="28"/>
        </w:rPr>
        <w:t xml:space="preserve">Какой главный недостаток использования спектрального преобразования в аналоговом скремблере? </w:t>
      </w:r>
    </w:p>
    <w:p w:rsidR="0056589D" w:rsidRPr="0056589D" w:rsidRDefault="0056589D" w:rsidP="0056589D">
      <w:pPr>
        <w:pStyle w:val="a3"/>
        <w:jc w:val="both"/>
        <w:rPr>
          <w:sz w:val="28"/>
          <w:szCs w:val="28"/>
        </w:rPr>
      </w:pPr>
    </w:p>
    <w:p w:rsidR="00E72861" w:rsidRDefault="00E72861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E72861" w:rsidRPr="00906BD4" w:rsidRDefault="00E72861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lastRenderedPageBreak/>
        <w:t>3.</w:t>
      </w:r>
      <w:r w:rsidR="00E72861">
        <w:rPr>
          <w:b/>
          <w:kern w:val="1"/>
          <w:sz w:val="28"/>
          <w:szCs w:val="28"/>
          <w:lang w:eastAsia="ar-SA"/>
        </w:rPr>
        <w:t>3</w:t>
      </w:r>
      <w:r w:rsidRPr="002F50F0">
        <w:rPr>
          <w:b/>
          <w:kern w:val="1"/>
          <w:sz w:val="28"/>
          <w:szCs w:val="28"/>
          <w:lang w:eastAsia="ar-SA"/>
        </w:rPr>
        <w:t xml:space="preserve"> Вопросы для экзамена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bookmarkStart w:id="0" w:name="_GoBack"/>
      <w:bookmarkEnd w:id="0"/>
      <w:r w:rsidRPr="00F914C8">
        <w:rPr>
          <w:sz w:val="28"/>
          <w:szCs w:val="28"/>
        </w:rPr>
        <w:t>Требования к информации с точки зрения защиты.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защиты речевых сигналов.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подключения к телефонным линиям.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защиты речевой информации.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постановки помех.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Криптографическая защита телефонных линий.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proofErr w:type="spellStart"/>
      <w:r w:rsidRPr="00F914C8">
        <w:rPr>
          <w:sz w:val="28"/>
          <w:szCs w:val="28"/>
        </w:rPr>
        <w:t>Маскиратор</w:t>
      </w:r>
      <w:proofErr w:type="spellEnd"/>
      <w:r w:rsidRPr="00F914C8">
        <w:rPr>
          <w:sz w:val="28"/>
          <w:szCs w:val="28"/>
        </w:rPr>
        <w:t>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Скремблер.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Устройство закрытия речи помехой.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маскирования речи.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шифраторов.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Виды угроз безопасности телефонной линии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Особенности использования фонограмм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 xml:space="preserve">Основные методы защиты речевой информации с помощью алгоритмов </w:t>
      </w:r>
      <w:proofErr w:type="spellStart"/>
      <w:r w:rsidRPr="00F914C8">
        <w:rPr>
          <w:sz w:val="28"/>
          <w:szCs w:val="28"/>
        </w:rPr>
        <w:t>стеганогорафии</w:t>
      </w:r>
      <w:proofErr w:type="spellEnd"/>
      <w:r w:rsidRPr="00F914C8">
        <w:rPr>
          <w:sz w:val="28"/>
          <w:szCs w:val="28"/>
        </w:rPr>
        <w:t xml:space="preserve"> и речевой подписи.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стеганографии</w:t>
      </w:r>
    </w:p>
    <w:p w:rsidR="006D69C2" w:rsidRPr="00F914C8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6D69C2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речевой подписи.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05C20">
        <w:rPr>
          <w:sz w:val="28"/>
          <w:szCs w:val="28"/>
          <w:highlight w:val="yellow"/>
        </w:rPr>
        <w:t>Компьютерная криминалистика.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</w:rPr>
        <w:t xml:space="preserve"> </w:t>
      </w:r>
      <w:proofErr w:type="gramStart"/>
      <w:r w:rsidRPr="00705C20">
        <w:rPr>
          <w:sz w:val="28"/>
          <w:szCs w:val="28"/>
          <w:highlight w:val="yellow"/>
        </w:rPr>
        <w:t>Основные методы</w:t>
      </w:r>
      <w:proofErr w:type="gramEnd"/>
      <w:r w:rsidRPr="00705C20">
        <w:rPr>
          <w:sz w:val="28"/>
          <w:szCs w:val="28"/>
          <w:highlight w:val="yellow"/>
        </w:rPr>
        <w:t xml:space="preserve"> использующиеся в компьютерной криминалистике.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Применение методов компьютерной криминалистики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Звуковые редакторы, используемые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lastRenderedPageBreak/>
        <w:t>Использование методов и алгоритмов статистического анализа фонограмм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Способы и средства несанкционированного получения информации техническими средствами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звуковых редакторов для изменения фонограмм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 xml:space="preserve">Признаки </w:t>
      </w:r>
      <w:proofErr w:type="gramStart"/>
      <w:r w:rsidRPr="00705C20">
        <w:rPr>
          <w:sz w:val="28"/>
          <w:szCs w:val="28"/>
          <w:highlight w:val="yellow"/>
        </w:rPr>
        <w:t>несанкционированного  вмешательства</w:t>
      </w:r>
      <w:proofErr w:type="gramEnd"/>
      <w:r w:rsidRPr="00705C20">
        <w:rPr>
          <w:sz w:val="28"/>
          <w:szCs w:val="28"/>
          <w:highlight w:val="yellow"/>
        </w:rPr>
        <w:t xml:space="preserve"> в фонограмму на основе статистического анализа</w:t>
      </w:r>
      <w:r>
        <w:rPr>
          <w:sz w:val="28"/>
          <w:szCs w:val="28"/>
        </w:rPr>
        <w:t>.</w:t>
      </w:r>
    </w:p>
    <w:p w:rsidR="006D69C2" w:rsidRPr="00705C20" w:rsidRDefault="006D69C2" w:rsidP="0056589D">
      <w:pPr>
        <w:numPr>
          <w:ilvl w:val="0"/>
          <w:numId w:val="25"/>
        </w:numPr>
        <w:rPr>
          <w:sz w:val="28"/>
          <w:szCs w:val="28"/>
          <w:highlight w:val="yellow"/>
        </w:rPr>
      </w:pPr>
      <w:r w:rsidRPr="00705C20">
        <w:rPr>
          <w:sz w:val="28"/>
          <w:szCs w:val="28"/>
          <w:highlight w:val="yellow"/>
        </w:rPr>
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</w:r>
    </w:p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/>
          <w:iCs/>
          <w:color w:val="000000"/>
          <w:sz w:val="24"/>
          <w:szCs w:val="24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</w:t>
      </w:r>
      <w:r w:rsidR="00E72861">
        <w:rPr>
          <w:b/>
          <w:kern w:val="1"/>
          <w:sz w:val="28"/>
          <w:szCs w:val="28"/>
          <w:lang w:eastAsia="ar-SA"/>
        </w:rPr>
        <w:t>4</w:t>
      </w:r>
      <w:r w:rsidRPr="002F50F0">
        <w:rPr>
          <w:b/>
          <w:kern w:val="1"/>
          <w:sz w:val="28"/>
          <w:szCs w:val="28"/>
          <w:lang w:eastAsia="ar-SA"/>
        </w:rPr>
        <w:t xml:space="preserve">. Билеты для экзамена </w:t>
      </w: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6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1.Требования к информации с точки зрения защиты.</w:t>
            </w: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2.Алгоритмы речевой подписи.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Приемы сбора акустической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Понятие скрытого цифрового маркера.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 w:rsidSect="00D72E4B"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Задачи защиты речевых сигналов.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Каналы утечки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речевой подписи и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подключения к телефонным линиям.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методы защиты речевой информации с помощью алгоритмов стеганографии и речевой подписи.</w:t>
            </w: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54"/>
              <w:rPr>
                <w:sz w:val="32"/>
                <w:szCs w:val="32"/>
                <w:lang w:eastAsia="ru-RU"/>
              </w:rPr>
            </w:pP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lastRenderedPageBreak/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pacing w:val="9"/>
                <w:sz w:val="16"/>
                <w:szCs w:val="16"/>
                <w:lang w:eastAsia="ru-RU"/>
              </w:rPr>
            </w:pPr>
          </w:p>
        </w:tc>
      </w:tr>
      <w:tr w:rsidR="006D69C2" w:rsidRPr="00026AEF" w:rsidTr="00E1546E">
        <w:trPr>
          <w:trHeight w:val="144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Спектр телефонных угроз.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Маскирование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Влияние сжатия речи на допустимость использования речевой фонограммы в уголовном производстве.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постановки помех.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5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Криптографическая защита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фонограмм от фальсификаций.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7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line="360" w:lineRule="auto"/>
              <w:ind w:left="1843" w:hanging="709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Методы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after="200" w:line="360" w:lineRule="auto"/>
              <w:ind w:left="1843" w:hanging="709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 xml:space="preserve">Средства защиты информации в инфокоммуникационных </w:t>
            </w:r>
            <w:r w:rsidRPr="00026AEF">
              <w:rPr>
                <w:b/>
                <w:sz w:val="32"/>
                <w:szCs w:val="32"/>
              </w:rPr>
              <w:lastRenderedPageBreak/>
              <w:t>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lastRenderedPageBreak/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уничтожающие средства съема информации в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7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Скремблер.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нарушения нормальной работы средств съема информации.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86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Устройство закрытия речи помехой.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9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Критерий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защиты телефонной линии и телефонного аппарата от несанкционированного доступа.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7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аналоговых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шифраторов.</w:t>
            </w: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цифровых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Cs/>
          <w:color w:val="000000"/>
          <w:sz w:val="24"/>
          <w:szCs w:val="24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  <w:r w:rsidRPr="00906BD4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Компьютерная криминалистика.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5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gramStart"/>
            <w:r w:rsidRPr="00026AEF">
              <w:rPr>
                <w:sz w:val="28"/>
                <w:szCs w:val="28"/>
                <w:highlight w:val="yellow"/>
              </w:rPr>
              <w:t>Основные методы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использующиеся в компьютерной криминалистике.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z w:val="32"/>
                <w:szCs w:val="32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Применение методов компьютерной криминалистики при анализе фонограмм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108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методов и алгоритмов статистического анализа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звуковых редакторов для изменения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Pr="00906BD4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Расписание аудиторных занятий, </w:t>
      </w:r>
      <w:proofErr w:type="spell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предзачетных</w:t>
      </w:r>
      <w:proofErr w:type="spell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</w:t>
      </w: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6D69C2" w:rsidRPr="00906BD4" w:rsidRDefault="006D69C2" w:rsidP="006D69C2">
      <w:pPr>
        <w:widowControl w:val="0"/>
        <w:tabs>
          <w:tab w:val="left" w:pos="1138"/>
        </w:tabs>
        <w:ind w:firstLine="760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rPr>
          <w:sz w:val="28"/>
          <w:szCs w:val="28"/>
          <w:lang w:eastAsia="ru-RU"/>
        </w:rPr>
      </w:pPr>
      <w:r w:rsidRPr="00906BD4">
        <w:rPr>
          <w:sz w:val="28"/>
          <w:szCs w:val="28"/>
          <w:lang w:eastAsia="ru-RU"/>
        </w:rPr>
        <w:t>Составил</w:t>
      </w:r>
    </w:p>
    <w:p w:rsidR="006D69C2" w:rsidRDefault="006D69C2" w:rsidP="006D69C2">
      <w:pPr>
        <w:jc w:val="both"/>
      </w:pPr>
      <w:r w:rsidRPr="00D82802">
        <w:t xml:space="preserve">к.т.н., доцент кафедры РУС      </w:t>
      </w:r>
      <w:r>
        <w:tab/>
      </w:r>
      <w:r>
        <w:tab/>
      </w:r>
      <w:r>
        <w:tab/>
      </w:r>
      <w:r>
        <w:tab/>
      </w:r>
      <w:r w:rsidRPr="00D82802">
        <w:t xml:space="preserve">                                В.Т. Дмитриев</w:t>
      </w:r>
    </w:p>
    <w:p w:rsidR="006D69C2" w:rsidRDefault="006D69C2" w:rsidP="006D69C2">
      <w:pPr>
        <w:ind w:firstLine="720"/>
        <w:jc w:val="both"/>
      </w:pPr>
    </w:p>
    <w:p w:rsidR="006D69C2" w:rsidRDefault="006D69C2" w:rsidP="006D69C2">
      <w:pPr>
        <w:ind w:firstLine="720"/>
        <w:jc w:val="both"/>
      </w:pPr>
    </w:p>
    <w:p w:rsidR="0080133E" w:rsidRDefault="0080133E"/>
    <w:sectPr w:rsid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39"/>
    <w:multiLevelType w:val="hybridMultilevel"/>
    <w:tmpl w:val="E014073A"/>
    <w:lvl w:ilvl="0" w:tplc="0106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456D5B"/>
    <w:multiLevelType w:val="hybridMultilevel"/>
    <w:tmpl w:val="FE4C2FA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0BCE1E06"/>
    <w:multiLevelType w:val="hybridMultilevel"/>
    <w:tmpl w:val="125A8E12"/>
    <w:lvl w:ilvl="0" w:tplc="B7106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F51B7B"/>
    <w:multiLevelType w:val="hybridMultilevel"/>
    <w:tmpl w:val="E1CE2C4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378A5FD3"/>
    <w:multiLevelType w:val="hybridMultilevel"/>
    <w:tmpl w:val="D786EA5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A21A9D"/>
    <w:multiLevelType w:val="hybridMultilevel"/>
    <w:tmpl w:val="FE6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8C6"/>
    <w:multiLevelType w:val="hybridMultilevel"/>
    <w:tmpl w:val="08FAB774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7" w15:restartNumberingAfterBreak="0">
    <w:nsid w:val="4B4F6BFE"/>
    <w:multiLevelType w:val="hybridMultilevel"/>
    <w:tmpl w:val="6DD04A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503956E8"/>
    <w:multiLevelType w:val="hybridMultilevel"/>
    <w:tmpl w:val="8D243AB0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55E94"/>
    <w:multiLevelType w:val="hybridMultilevel"/>
    <w:tmpl w:val="C0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0FE"/>
    <w:multiLevelType w:val="hybridMultilevel"/>
    <w:tmpl w:val="7BEEC1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48F35FA"/>
    <w:multiLevelType w:val="hybridMultilevel"/>
    <w:tmpl w:val="EB3631C2"/>
    <w:lvl w:ilvl="0" w:tplc="36189E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EC0462"/>
    <w:multiLevelType w:val="hybridMultilevel"/>
    <w:tmpl w:val="267476C6"/>
    <w:lvl w:ilvl="0" w:tplc="36189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189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D7990"/>
    <w:multiLevelType w:val="hybridMultilevel"/>
    <w:tmpl w:val="00B8EEF0"/>
    <w:lvl w:ilvl="0" w:tplc="FC6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487"/>
    <w:multiLevelType w:val="hybridMultilevel"/>
    <w:tmpl w:val="60D40B7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64DB68A9"/>
    <w:multiLevelType w:val="hybridMultilevel"/>
    <w:tmpl w:val="AEBCDBA6"/>
    <w:lvl w:ilvl="0" w:tplc="3884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E316F9"/>
    <w:multiLevelType w:val="hybridMultilevel"/>
    <w:tmpl w:val="21D2CA7E"/>
    <w:lvl w:ilvl="0" w:tplc="8AD0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36E76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604BD"/>
    <w:multiLevelType w:val="hybridMultilevel"/>
    <w:tmpl w:val="BD8E9C10"/>
    <w:lvl w:ilvl="0" w:tplc="837002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9" w15:restartNumberingAfterBreak="0">
    <w:nsid w:val="67A85C37"/>
    <w:multiLevelType w:val="hybridMultilevel"/>
    <w:tmpl w:val="E7401168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D26A2"/>
    <w:multiLevelType w:val="hybridMultilevel"/>
    <w:tmpl w:val="63A420FE"/>
    <w:lvl w:ilvl="0" w:tplc="30C8E4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1301C6C"/>
    <w:multiLevelType w:val="hybridMultilevel"/>
    <w:tmpl w:val="432C41AA"/>
    <w:lvl w:ilvl="0" w:tplc="3470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961"/>
    <w:multiLevelType w:val="hybridMultilevel"/>
    <w:tmpl w:val="899234E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BDE4078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9B1C83"/>
    <w:multiLevelType w:val="hybridMultilevel"/>
    <w:tmpl w:val="FEBC2C36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24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2"/>
    <w:rsid w:val="00556AE4"/>
    <w:rsid w:val="0056589D"/>
    <w:rsid w:val="006D69C2"/>
    <w:rsid w:val="0080133E"/>
    <w:rsid w:val="00C27AAE"/>
    <w:rsid w:val="00E15A27"/>
    <w:rsid w:val="00E47742"/>
    <w:rsid w:val="00E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AE80"/>
  <w15:chartTrackingRefBased/>
  <w15:docId w15:val="{101A10BB-11D4-4EC2-ABE7-EA9A667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6D69C2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D69C2"/>
    <w:pPr>
      <w:shd w:val="clear" w:color="auto" w:fill="FFFFFF"/>
      <w:spacing w:before="60" w:after="60" w:line="293" w:lineRule="exact"/>
      <w:ind w:hanging="54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  <w:style w:type="paragraph" w:styleId="a3">
    <w:name w:val="List Paragraph"/>
    <w:basedOn w:val="a"/>
    <w:uiPriority w:val="34"/>
    <w:qFormat/>
    <w:rsid w:val="00E7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RCaC_514</cp:lastModifiedBy>
  <cp:revision>2</cp:revision>
  <dcterms:created xsi:type="dcterms:W3CDTF">2023-09-08T07:18:00Z</dcterms:created>
  <dcterms:modified xsi:type="dcterms:W3CDTF">2023-09-08T07:18:00Z</dcterms:modified>
</cp:coreProperties>
</file>