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AF281F" w:rsidRDefault="00AF281F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F281F">
        <w:rPr>
          <w:rFonts w:ascii="Times New Roman" w:hAnsi="Times New Roman"/>
          <w:b/>
          <w:color w:val="000000"/>
          <w:sz w:val="40"/>
          <w:szCs w:val="40"/>
        </w:rPr>
        <w:t>Прикладной статистический анализ данных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CB73D3">
        <w:rPr>
          <w:rFonts w:ascii="Times New Roman" w:hAnsi="Times New Roman"/>
          <w:b/>
          <w:color w:val="000000"/>
          <w:sz w:val="24"/>
          <w:szCs w:val="24"/>
        </w:rPr>
        <w:t>5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</w:t>
      </w:r>
      <w:r w:rsidR="00CB73D3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2848E9" w:rsidRPr="00CB73D3" w:rsidRDefault="00CB73D3" w:rsidP="002848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B73D3">
        <w:rPr>
          <w:rFonts w:ascii="Times New Roman" w:hAnsi="Times New Roman" w:cs="Times New Roman"/>
          <w:color w:val="000000"/>
          <w:sz w:val="28"/>
          <w:szCs w:val="28"/>
        </w:rPr>
        <w:t>Проектирование технологических машин и комплексов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CB73D3">
        <w:rPr>
          <w:rStyle w:val="11"/>
          <w:b w:val="0"/>
          <w:color w:val="000000"/>
          <w:sz w:val="28"/>
          <w:szCs w:val="28"/>
        </w:rPr>
        <w:t>инженер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F16CFC">
        <w:rPr>
          <w:rStyle w:val="11"/>
          <w:b w:val="0"/>
          <w:color w:val="000000"/>
          <w:sz w:val="28"/>
          <w:szCs w:val="28"/>
        </w:rPr>
        <w:t xml:space="preserve"> </w:t>
      </w:r>
      <w:r w:rsidR="007B1AC7">
        <w:rPr>
          <w:rStyle w:val="11"/>
          <w:b w:val="0"/>
          <w:color w:val="000000"/>
          <w:sz w:val="28"/>
          <w:szCs w:val="28"/>
        </w:rPr>
        <w:t>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846AE">
        <w:rPr>
          <w:rStyle w:val="11"/>
          <w:color w:val="000000"/>
          <w:sz w:val="28"/>
          <w:szCs w:val="28"/>
        </w:rPr>
        <w:t>Рязань 202</w:t>
      </w:r>
      <w:r>
        <w:rPr>
          <w:rStyle w:val="11"/>
          <w:color w:val="000000"/>
          <w:sz w:val="28"/>
          <w:szCs w:val="28"/>
        </w:rPr>
        <w:t>2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 xml:space="preserve">лекции.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>Успешное изучение курса требует посещения лекций,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</w:t>
      </w:r>
      <w:proofErr w:type="gramStart"/>
      <w:r>
        <w:rPr>
          <w:bCs/>
        </w:rPr>
        <w:t>обучающихся</w:t>
      </w:r>
      <w:proofErr w:type="gramEnd"/>
      <w:r>
        <w:rPr>
          <w:bCs/>
        </w:rPr>
        <w:t xml:space="preserve"> при подготовке к лекциям, </w:t>
      </w:r>
      <w:r w:rsidRPr="000E6BD3">
        <w:rPr>
          <w:bCs/>
        </w:rPr>
        <w:t xml:space="preserve">а также к теоретическому </w:t>
      </w:r>
      <w:r w:rsidR="00CE2F34">
        <w:rPr>
          <w:bCs/>
        </w:rPr>
        <w:t>зачету</w:t>
      </w:r>
      <w:r w:rsidRPr="000E6BD3">
        <w:rPr>
          <w:bCs/>
        </w:rPr>
        <w:t xml:space="preserve">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9907EA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зачету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 xml:space="preserve">, а также составить ответы на все вопросы, вынесенные на </w:t>
      </w:r>
      <w:r w:rsidR="00B520E8">
        <w:rPr>
          <w:rFonts w:ascii="Times New Roman" w:hAnsi="Times New Roman" w:cs="Times New Roman"/>
          <w:sz w:val="24"/>
          <w:szCs w:val="24"/>
        </w:rPr>
        <w:t>зачет</w:t>
      </w:r>
      <w:r w:rsidRPr="00FA1CCF">
        <w:rPr>
          <w:rFonts w:ascii="Times New Roman" w:hAnsi="Times New Roman" w:cs="Times New Roman"/>
          <w:sz w:val="24"/>
          <w:szCs w:val="24"/>
        </w:rPr>
        <w:t>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C62C0"/>
    <w:rsid w:val="00012D48"/>
    <w:rsid w:val="000D061D"/>
    <w:rsid w:val="001A7FED"/>
    <w:rsid w:val="00262726"/>
    <w:rsid w:val="002848E9"/>
    <w:rsid w:val="00287D2A"/>
    <w:rsid w:val="002C62C0"/>
    <w:rsid w:val="00395D4D"/>
    <w:rsid w:val="0040561E"/>
    <w:rsid w:val="004612A6"/>
    <w:rsid w:val="004763C3"/>
    <w:rsid w:val="0052628D"/>
    <w:rsid w:val="006363CB"/>
    <w:rsid w:val="006C1C70"/>
    <w:rsid w:val="006D0752"/>
    <w:rsid w:val="006D07B3"/>
    <w:rsid w:val="007A74B6"/>
    <w:rsid w:val="007B0079"/>
    <w:rsid w:val="007B1AC7"/>
    <w:rsid w:val="00804A11"/>
    <w:rsid w:val="0086029D"/>
    <w:rsid w:val="00922ECE"/>
    <w:rsid w:val="00936F2B"/>
    <w:rsid w:val="009907EA"/>
    <w:rsid w:val="00A15A26"/>
    <w:rsid w:val="00A21149"/>
    <w:rsid w:val="00A43E11"/>
    <w:rsid w:val="00A5520A"/>
    <w:rsid w:val="00AD7180"/>
    <w:rsid w:val="00AF281F"/>
    <w:rsid w:val="00B5177E"/>
    <w:rsid w:val="00B520E8"/>
    <w:rsid w:val="00B96378"/>
    <w:rsid w:val="00BA21F6"/>
    <w:rsid w:val="00C15FC9"/>
    <w:rsid w:val="00C50872"/>
    <w:rsid w:val="00C55C0C"/>
    <w:rsid w:val="00CB73D3"/>
    <w:rsid w:val="00CC62D6"/>
    <w:rsid w:val="00CE2533"/>
    <w:rsid w:val="00CE2F34"/>
    <w:rsid w:val="00D26A05"/>
    <w:rsid w:val="00E778EB"/>
    <w:rsid w:val="00E8671B"/>
    <w:rsid w:val="00ED23B6"/>
    <w:rsid w:val="00ED58DF"/>
    <w:rsid w:val="00F01D94"/>
    <w:rsid w:val="00F05845"/>
    <w:rsid w:val="00F12378"/>
    <w:rsid w:val="00F16CFC"/>
    <w:rsid w:val="00F24771"/>
    <w:rsid w:val="00F610A8"/>
    <w:rsid w:val="00F630EC"/>
    <w:rsid w:val="00F67763"/>
    <w:rsid w:val="00FA1CCF"/>
    <w:rsid w:val="00FF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7859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2022-10-22T10:45:00Z</dcterms:created>
  <dcterms:modified xsi:type="dcterms:W3CDTF">2022-11-01T06:04:00Z</dcterms:modified>
</cp:coreProperties>
</file>