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CB5327" w:rsidP="007C112C">
      <w:pPr>
        <w:widowControl w:val="0"/>
        <w:shd w:val="clear" w:color="auto" w:fill="FFFFFF"/>
        <w:suppressAutoHyphens/>
        <w:jc w:val="center"/>
        <w:rPr>
          <w:b/>
          <w:bCs/>
          <w:color w:val="000000"/>
          <w:sz w:val="28"/>
          <w:szCs w:val="28"/>
        </w:rPr>
      </w:pPr>
      <w:r>
        <w:rPr>
          <w:b/>
          <w:bCs/>
          <w:color w:val="000000"/>
          <w:sz w:val="28"/>
          <w:szCs w:val="28"/>
        </w:rPr>
        <w:t>ФТД</w:t>
      </w:r>
      <w:r w:rsidR="007C112C" w:rsidRPr="00877881">
        <w:rPr>
          <w:b/>
          <w:bCs/>
          <w:color w:val="000000"/>
          <w:sz w:val="28"/>
          <w:szCs w:val="28"/>
        </w:rPr>
        <w:t>.</w:t>
      </w:r>
      <w:r w:rsidR="00944B70">
        <w:rPr>
          <w:b/>
          <w:bCs/>
          <w:color w:val="000000"/>
          <w:sz w:val="28"/>
          <w:szCs w:val="28"/>
        </w:rPr>
        <w:t>В</w:t>
      </w:r>
      <w:r w:rsidR="007C112C" w:rsidRPr="00877881">
        <w:rPr>
          <w:b/>
          <w:bCs/>
          <w:color w:val="000000"/>
          <w:sz w:val="28"/>
          <w:szCs w:val="28"/>
        </w:rPr>
        <w:t>.</w:t>
      </w:r>
      <w:r>
        <w:rPr>
          <w:b/>
          <w:bCs/>
          <w:color w:val="000000"/>
          <w:sz w:val="28"/>
          <w:szCs w:val="28"/>
        </w:rPr>
        <w:t>01</w:t>
      </w:r>
      <w:r w:rsidR="007C112C" w:rsidRPr="00877881">
        <w:rPr>
          <w:b/>
          <w:bCs/>
          <w:color w:val="000000"/>
          <w:sz w:val="28"/>
          <w:szCs w:val="28"/>
        </w:rPr>
        <w:t xml:space="preserve"> «</w:t>
      </w:r>
      <w:r>
        <w:rPr>
          <w:b/>
          <w:bCs/>
          <w:color w:val="000000"/>
          <w:sz w:val="28"/>
          <w:szCs w:val="28"/>
        </w:rPr>
        <w:t>Ценообразование</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Pr>
          <w:color w:val="000000"/>
          <w:sz w:val="28"/>
          <w:szCs w:val="28"/>
        </w:rPr>
        <w:t>1 Экономика</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 xml:space="preserve">ОПОП </w:t>
      </w:r>
      <w:r>
        <w:rPr>
          <w:color w:val="000000"/>
          <w:sz w:val="28"/>
          <w:szCs w:val="28"/>
        </w:rPr>
        <w:t>академического</w:t>
      </w:r>
      <w:r w:rsidRPr="00877881">
        <w:rPr>
          <w:color w:val="000000"/>
          <w:sz w:val="28"/>
          <w:szCs w:val="28"/>
        </w:rPr>
        <w:t xml:space="preserve"> бакалавриата</w:t>
      </w:r>
    </w:p>
    <w:p w:rsidR="007C112C" w:rsidRPr="00877881" w:rsidRDefault="007C112C" w:rsidP="007C112C">
      <w:pPr>
        <w:widowControl w:val="0"/>
        <w:suppressAutoHyphens/>
        <w:jc w:val="center"/>
        <w:rPr>
          <w:color w:val="000000"/>
          <w:sz w:val="28"/>
          <w:szCs w:val="28"/>
        </w:rPr>
      </w:pPr>
      <w:r w:rsidRPr="00877881">
        <w:rPr>
          <w:color w:val="000000"/>
          <w:sz w:val="28"/>
          <w:szCs w:val="28"/>
        </w:rPr>
        <w:t>«</w:t>
      </w:r>
      <w:r>
        <w:rPr>
          <w:color w:val="000000"/>
          <w:sz w:val="28"/>
          <w:szCs w:val="28"/>
        </w:rPr>
        <w:t>Экономика</w:t>
      </w:r>
      <w:r w:rsidRPr="00877881">
        <w:rPr>
          <w:color w:val="000000"/>
          <w:sz w:val="28"/>
          <w:szCs w:val="28"/>
        </w:rPr>
        <w:t>»</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7C112C" w:rsidP="007C112C">
      <w:pPr>
        <w:widowControl w:val="0"/>
        <w:suppressAutoHyphens/>
        <w:jc w:val="center"/>
        <w:rPr>
          <w:color w:val="000000"/>
          <w:sz w:val="28"/>
          <w:szCs w:val="28"/>
        </w:rPr>
      </w:pPr>
      <w:r w:rsidRPr="00877881">
        <w:rPr>
          <w:color w:val="000000"/>
          <w:sz w:val="28"/>
          <w:szCs w:val="28"/>
        </w:rPr>
        <w:t xml:space="preserve">Формы обучения – </w:t>
      </w:r>
      <w:proofErr w:type="gramStart"/>
      <w:r w:rsidRPr="00877881">
        <w:rPr>
          <w:color w:val="000000"/>
          <w:sz w:val="28"/>
          <w:szCs w:val="28"/>
        </w:rPr>
        <w:t>очная</w:t>
      </w:r>
      <w:proofErr w:type="gram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Рязань 20</w:t>
      </w:r>
      <w:r>
        <w:rPr>
          <w:color w:val="000000"/>
          <w:sz w:val="28"/>
          <w:szCs w:val="28"/>
        </w:rPr>
        <w:t>2</w:t>
      </w:r>
      <w:r w:rsidR="00D6176D">
        <w:rPr>
          <w:color w:val="000000"/>
          <w:sz w:val="28"/>
          <w:szCs w:val="28"/>
        </w:rPr>
        <w:t>0</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при подготовке к следующей лекции, нужно просмотреть текст предыдущей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91D6E"/>
    <w:rsid w:val="00413786"/>
    <w:rsid w:val="0067275B"/>
    <w:rsid w:val="007C112C"/>
    <w:rsid w:val="00803D45"/>
    <w:rsid w:val="00944B70"/>
    <w:rsid w:val="00993A36"/>
    <w:rsid w:val="00A9444B"/>
    <w:rsid w:val="00B36C04"/>
    <w:rsid w:val="00CB5327"/>
    <w:rsid w:val="00CB58F0"/>
    <w:rsid w:val="00D6176D"/>
    <w:rsid w:val="00D9734D"/>
    <w:rsid w:val="00F046A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4869</Characters>
  <Application>Microsoft Office Word</Application>
  <DocSecurity>0</DocSecurity>
  <Lines>40</Lines>
  <Paragraphs>11</Paragraphs>
  <ScaleCrop>false</ScaleCrop>
  <Company>Microsoft</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Павел</cp:lastModifiedBy>
  <cp:revision>7</cp:revision>
  <dcterms:created xsi:type="dcterms:W3CDTF">2023-03-20T08:17:00Z</dcterms:created>
  <dcterms:modified xsi:type="dcterms:W3CDTF">2023-09-21T15:30:00Z</dcterms:modified>
</cp:coreProperties>
</file>