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367817">
      <w:pPr>
        <w:ind w:firstLine="567"/>
        <w:jc w:val="center"/>
        <w:rPr>
          <w:b/>
          <w:sz w:val="32"/>
          <w:szCs w:val="28"/>
        </w:rPr>
      </w:pPr>
      <w:r w:rsidRPr="00367817">
        <w:rPr>
          <w:b/>
          <w:sz w:val="32"/>
          <w:szCs w:val="28"/>
        </w:rPr>
        <w:t xml:space="preserve">Строение вещества и свойства </w:t>
      </w:r>
      <w:proofErr w:type="spellStart"/>
      <w:r w:rsidRPr="00367817">
        <w:rPr>
          <w:b/>
          <w:sz w:val="32"/>
          <w:szCs w:val="28"/>
        </w:rPr>
        <w:t>спецпродуктов</w:t>
      </w:r>
      <w:proofErr w:type="spellEnd"/>
      <w:r w:rsidRPr="00367817">
        <w:rPr>
          <w:b/>
          <w:sz w:val="32"/>
          <w:szCs w:val="28"/>
        </w:rPr>
        <w:t xml:space="preserve"> нефтепереработки и нефтехимии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7B7D0A">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7B7D0A">
        <w:pPr>
          <w:pStyle w:val="af"/>
          <w:jc w:val="center"/>
        </w:pPr>
        <w:r>
          <w:fldChar w:fldCharType="begin"/>
        </w:r>
        <w:r w:rsidR="00A83D1D">
          <w:instrText xml:space="preserve"> PAGE </w:instrText>
        </w:r>
        <w:r>
          <w:fldChar w:fldCharType="separate"/>
        </w:r>
        <w:r w:rsidR="00367817">
          <w:rPr>
            <w:noProof/>
          </w:rPr>
          <w:t>12</w:t>
        </w:r>
        <w:r>
          <w:fldChar w:fldCharType="end"/>
        </w:r>
      </w:p>
      <w:p w:rsidR="00753FE5" w:rsidRDefault="007B7D0A">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7B7D0A">
        <w:pPr>
          <w:pStyle w:val="af"/>
          <w:jc w:val="center"/>
        </w:pPr>
        <w:r>
          <w:fldChar w:fldCharType="begin"/>
        </w:r>
        <w:r w:rsidR="00A83D1D">
          <w:instrText xml:space="preserve"> PAGE </w:instrText>
        </w:r>
        <w:r>
          <w:fldChar w:fldCharType="separate"/>
        </w:r>
        <w:r w:rsidR="00367817">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67817"/>
    <w:rsid w:val="003C0E41"/>
    <w:rsid w:val="00753FE5"/>
    <w:rsid w:val="007B7D0A"/>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7B7D0A"/>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7B7D0A"/>
    <w:rPr>
      <w:rFonts w:cs="Arial"/>
    </w:rPr>
  </w:style>
  <w:style w:type="paragraph" w:styleId="aa">
    <w:name w:val="caption"/>
    <w:basedOn w:val="a"/>
    <w:qFormat/>
    <w:rsid w:val="007B7D0A"/>
    <w:pPr>
      <w:suppressLineNumbers/>
      <w:spacing w:before="120" w:after="120"/>
    </w:pPr>
    <w:rPr>
      <w:rFonts w:cs="Arial"/>
      <w:i/>
      <w:iCs/>
    </w:rPr>
  </w:style>
  <w:style w:type="paragraph" w:styleId="ab">
    <w:name w:val="index heading"/>
    <w:basedOn w:val="a"/>
    <w:qFormat/>
    <w:rsid w:val="007B7D0A"/>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7B7D0A"/>
  </w:style>
  <w:style w:type="paragraph" w:customStyle="1" w:styleId="ae">
    <w:name w:val="Колонтитул"/>
    <w:basedOn w:val="a"/>
    <w:qFormat/>
    <w:rsid w:val="007B7D0A"/>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3744</Words>
  <Characters>21344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