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D3" w:rsidRDefault="002B4F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5460D3" w:rsidRDefault="005460D3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460D3" w:rsidRDefault="002B4F5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5460D3" w:rsidRDefault="002B4F5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5460D3" w:rsidRDefault="002B4F5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5460D3" w:rsidRDefault="002B4F5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5460D3" w:rsidRDefault="002B4F58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5460D3" w:rsidRDefault="005460D3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5460D3" w:rsidRDefault="005460D3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0D3" w:rsidRDefault="002B4F5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5460D3" w:rsidRDefault="005460D3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60D3" w:rsidRDefault="002B4F58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«ВВЕДЕНИЕ В ПРОФЕССИОНАЛЬНУЮ ДЕЯТЕЛЬНОСТЬ»</w:t>
      </w:r>
    </w:p>
    <w:p w:rsidR="005460D3" w:rsidRDefault="00546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0D3" w:rsidRDefault="005460D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0D3" w:rsidRDefault="002B4F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5460D3" w:rsidRDefault="002B4F5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60D3" w:rsidRDefault="002B4F5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5460D3" w:rsidRDefault="002B4F5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«Системы радиосвязи, мобильной связи и радиодоступа»</w:t>
      </w: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0D3" w:rsidRDefault="002B4F5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5460D3" w:rsidRDefault="002B4F5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0D3" w:rsidRDefault="002B4F5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60D3" w:rsidRDefault="002B4F5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5460D3" w:rsidRDefault="005460D3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60D3" w:rsidRDefault="005460D3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546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0D3" w:rsidRDefault="002B4F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074F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5460D3" w:rsidRDefault="005460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 (рисунки, схемы, чертежи и т.д.), которые использует преподаватель.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5460D3" w:rsidRDefault="002B4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5460D3" w:rsidRDefault="005460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т.д.).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5460D3" w:rsidRDefault="005460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экзамен.</w:t>
      </w:r>
    </w:p>
    <w:p w:rsidR="005460D3" w:rsidRDefault="005460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5460D3" w:rsidRDefault="005460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5460D3" w:rsidRDefault="005460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помогите своему организму – обеспечьте ему полноценное питание, давайте ему периоды отдыха с переменой вида деятельности;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5460D3" w:rsidRDefault="005460D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предложены следующие виды заданий: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работу со справочной, нормативной документацией и научной литературой;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венного участия, включает следующие виды деятельности.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ГИА, в том числе выполнение ВКР;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ные места, факты, цитаты и т.д.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5460D3" w:rsidRDefault="002B4F5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Особенности профессиональной деятельности выпускников по направлению </w:t>
      </w:r>
      <w:r>
        <w:rPr>
          <w:rFonts w:ascii="Times New Roman" w:hAnsi="Times New Roman"/>
          <w:bCs/>
          <w:sz w:val="24"/>
          <w:szCs w:val="24"/>
        </w:rPr>
        <w:t>«Инфокоммуникационные технологии и системы свзи». Компетенции необход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мые для становления успешным специалистом в выбранном профессиональном направлении. Компетенции необходимые для успешного профессионального роста.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подготовки по направлению «Инфокоммуникационные технологии и системы связи». Принципы обучения в высшем учебном заведении. Учебный план и назначение дисциплин.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истории электросвязи в развитии техники и просвещения общества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телекоммуникации, основные определения терминов: информация, 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общение, сигнал, канал, сеть.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Структурная схема канала связи, основные процессы в канале.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связи на большие расстояния до изобретения электричества начиная с древнейших времен.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Изобретение оптического (факельного, водяного, семафорного) телеграфа, авт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 изобретений.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Рождение и развитие учения об электрических и магнитных явленях, попытки создания устройств связи.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Изобретение электромагнитного телеграфа, роль П.Л. Шиллинга, С. Морзе, Б.С. Якоби, М.Э. Бодо.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Изобретение телефона, коммутатора, АТС.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телеграфной связи по подводному кабелю.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Открытие электромагнитных волн, роль К. Максвелла и Г. Герца.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Изобретение радио, начальный период развития радиосвязи. Роль А.С. Попова, Г. Маркони, других изобретателей и ученых.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Изобретение триода, совершенствование передающих и приемных радиоус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ройств.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Хронология развития радиосвязи, изобретение телевидения в период 40-х годов ХХ века.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радиосвязи, радиолокации, радиоуправления и т.д. в период   Второй мировой войны.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теории связи, работы Г. Найквиста, В. Котельникова, К. Шеннона.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Фундаментальные открытия и изобретения в области радиоэлектроники и связи с 50-х годов ХХ века и по настоящее время (транзисторы, интегральные схемы, микроэлектроника, квантовые и оптические генераторы и т.п.).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развития многоканальных систем связи.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История развития радиосвязи с подвижными объектами.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развития спутниковой радиосвязи.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развития цифровых методов в телекоммуникации.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Вклад отечественных ученых в развитие теории и техники радиосвязи  и ради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электроники (А.С. Попов, М.В. Шулейкин, М.А. Бонч-Бруевич, Л.И. Мандел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lastRenderedPageBreak/>
        <w:t>штам, В.А. Котельников, А.И. Берг, А.Л. Минц, А.М. Прохоров, Н.Г. Басов, Ж.И. Алферов и др.).</w:t>
      </w:r>
    </w:p>
    <w:p w:rsidR="005460D3" w:rsidRDefault="002B4F58" w:rsidP="00584CA9">
      <w:pPr>
        <w:numPr>
          <w:ilvl w:val="0"/>
          <w:numId w:val="1"/>
        </w:numPr>
        <w:spacing w:after="0" w:line="276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тенденции развития телекоммуникации в XXI веке, ста    новление  глобального информационного общества.</w:t>
      </w:r>
    </w:p>
    <w:bookmarkEnd w:id="0"/>
    <w:p w:rsidR="005460D3" w:rsidRDefault="002B4F5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Гришаев Ю.Н. История радиотехники: учеб. пособие / Рязан. гос. радиотехн. ун-т. – Рязань, 2010.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https://elib.rsreu.ru/ebs/download/2173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Гришаев Ю.Н. История радиотехники: методические указания к упражнениям/ Рязан. гос.радиотехн. ун-т. – Рязань, 2011.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https://elib.rsreu.ru/ebs/download/2172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Мелихов С.В. Введение в профиль «Системы мобильной связи» [Электронный ресурс]: учебное пособие для лекционных, практических занятий, самостоятельной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ты студентов радиотехнических специальностей / С.В. Мелихов, И.А. Колесов. —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трон. текстовые данные. — Томск: Томский государственный университет систем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ления и радиоэлектроники, 2016. — 156 c. — 2227-8397. — Режим доступа: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http://www.iprbookshop.ru/72075.html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0D3" w:rsidRDefault="002B4F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Мелихов С.В. Введение в специальность "Средства связи с подвижными объе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тами" [Электронный ресурс]: учебное пособие / С.В. Мелихов, И.А. Колесов. — Электрон. Текстовые данные. — Томск: Томский государственный университет систем управления и</w:t>
      </w:r>
    </w:p>
    <w:p w:rsidR="005460D3" w:rsidRDefault="002B4F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радиоэлектроники, 2009. — 154 c. — 5-89503-251-6. — Режим доступа: 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http://www.iprbookshop.ru/13926.html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460D3" w:rsidSect="00992788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F0" w:rsidRDefault="00A77AF0">
      <w:pPr>
        <w:spacing w:after="0" w:line="240" w:lineRule="auto"/>
      </w:pPr>
      <w:r>
        <w:separator/>
      </w:r>
    </w:p>
  </w:endnote>
  <w:endnote w:type="continuationSeparator" w:id="0">
    <w:p w:rsidR="00A77AF0" w:rsidRDefault="00A7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744377"/>
      <w:docPartObj>
        <w:docPartGallery w:val="Page Numbers (Bottom of Page)"/>
        <w:docPartUnique/>
      </w:docPartObj>
    </w:sdtPr>
    <w:sdtContent>
      <w:p w:rsidR="005460D3" w:rsidRDefault="00992788">
        <w:pPr>
          <w:pStyle w:val="ad"/>
          <w:jc w:val="center"/>
        </w:pPr>
        <w:r>
          <w:fldChar w:fldCharType="begin"/>
        </w:r>
        <w:r w:rsidR="002B4F58">
          <w:instrText>PAGE</w:instrText>
        </w:r>
        <w:r>
          <w:fldChar w:fldCharType="separate"/>
        </w:r>
        <w:r w:rsidR="00074FCF">
          <w:rPr>
            <w:noProof/>
          </w:rPr>
          <w:t>2</w:t>
        </w:r>
        <w:r>
          <w:fldChar w:fldCharType="end"/>
        </w:r>
      </w:p>
    </w:sdtContent>
  </w:sdt>
  <w:p w:rsidR="005460D3" w:rsidRDefault="005460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F0" w:rsidRDefault="00A77AF0">
      <w:pPr>
        <w:spacing w:after="0" w:line="240" w:lineRule="auto"/>
      </w:pPr>
      <w:r>
        <w:separator/>
      </w:r>
    </w:p>
  </w:footnote>
  <w:footnote w:type="continuationSeparator" w:id="0">
    <w:p w:rsidR="00A77AF0" w:rsidRDefault="00A77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A1A"/>
    <w:multiLevelType w:val="multilevel"/>
    <w:tmpl w:val="65A84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30082C"/>
    <w:multiLevelType w:val="multilevel"/>
    <w:tmpl w:val="3B4E97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0D3"/>
    <w:rsid w:val="00074FCF"/>
    <w:rsid w:val="002B4F58"/>
    <w:rsid w:val="005460D3"/>
    <w:rsid w:val="00584CA9"/>
    <w:rsid w:val="00992788"/>
    <w:rsid w:val="00A52241"/>
    <w:rsid w:val="00A77AF0"/>
    <w:rsid w:val="00EE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B3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a5">
    <w:name w:val="Посещённая гиперссылка"/>
    <w:basedOn w:val="a0"/>
    <w:uiPriority w:val="99"/>
    <w:semiHidden/>
    <w:unhideWhenUsed/>
    <w:rsid w:val="00CB336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CB3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WW8Num9z0">
    <w:name w:val="WW8Num9z0"/>
    <w:qFormat/>
    <w:rsid w:val="00992788"/>
    <w:rPr>
      <w:bCs/>
      <w:sz w:val="28"/>
      <w:szCs w:val="28"/>
    </w:rPr>
  </w:style>
  <w:style w:type="character" w:customStyle="1" w:styleId="WW8Num9z1">
    <w:name w:val="WW8Num9z1"/>
    <w:qFormat/>
    <w:rsid w:val="00992788"/>
  </w:style>
  <w:style w:type="character" w:customStyle="1" w:styleId="WW8Num9z2">
    <w:name w:val="WW8Num9z2"/>
    <w:qFormat/>
    <w:rsid w:val="00992788"/>
  </w:style>
  <w:style w:type="character" w:customStyle="1" w:styleId="WW8Num9z3">
    <w:name w:val="WW8Num9z3"/>
    <w:qFormat/>
    <w:rsid w:val="00992788"/>
  </w:style>
  <w:style w:type="character" w:customStyle="1" w:styleId="WW8Num9z4">
    <w:name w:val="WW8Num9z4"/>
    <w:qFormat/>
    <w:rsid w:val="00992788"/>
  </w:style>
  <w:style w:type="character" w:customStyle="1" w:styleId="WW8Num9z5">
    <w:name w:val="WW8Num9z5"/>
    <w:qFormat/>
    <w:rsid w:val="00992788"/>
  </w:style>
  <w:style w:type="character" w:customStyle="1" w:styleId="WW8Num9z6">
    <w:name w:val="WW8Num9z6"/>
    <w:qFormat/>
    <w:rsid w:val="00992788"/>
  </w:style>
  <w:style w:type="character" w:customStyle="1" w:styleId="WW8Num9z7">
    <w:name w:val="WW8Num9z7"/>
    <w:qFormat/>
    <w:rsid w:val="00992788"/>
  </w:style>
  <w:style w:type="character" w:customStyle="1" w:styleId="WW8Num9z8">
    <w:name w:val="WW8Num9z8"/>
    <w:qFormat/>
    <w:rsid w:val="00992788"/>
  </w:style>
  <w:style w:type="paragraph" w:styleId="a6">
    <w:name w:val="Title"/>
    <w:basedOn w:val="a"/>
    <w:next w:val="a7"/>
    <w:qFormat/>
    <w:rsid w:val="009927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992788"/>
    <w:pPr>
      <w:spacing w:after="140" w:line="276" w:lineRule="auto"/>
    </w:pPr>
  </w:style>
  <w:style w:type="paragraph" w:styleId="a8">
    <w:name w:val="List"/>
    <w:basedOn w:val="a7"/>
    <w:rsid w:val="00992788"/>
    <w:rPr>
      <w:rFonts w:cs="Arial"/>
    </w:rPr>
  </w:style>
  <w:style w:type="paragraph" w:styleId="a9">
    <w:name w:val="caption"/>
    <w:basedOn w:val="a"/>
    <w:qFormat/>
    <w:rsid w:val="009927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92788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992788"/>
  </w:style>
  <w:style w:type="paragraph" w:styleId="ac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msonormal0">
    <w:name w:val="msonormal"/>
    <w:basedOn w:val="a"/>
    <w:qFormat/>
    <w:rsid w:val="002E1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9">
    <w:name w:val="WW8Num9"/>
    <w:qFormat/>
    <w:rsid w:val="009927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rsreu.ru/ebs/download/217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1392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720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rsreu.ru/ebs/download/21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0C51B-FCE8-4A1B-A95A-E81D9ED3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5168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Lightstream</cp:lastModifiedBy>
  <cp:revision>4</cp:revision>
  <dcterms:created xsi:type="dcterms:W3CDTF">2022-10-19T13:00:00Z</dcterms:created>
  <dcterms:modified xsi:type="dcterms:W3CDTF">2023-07-21T11:35:00Z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