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C66163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C66163">
        <w:rPr>
          <w:b/>
          <w:bCs/>
          <w:i/>
          <w:iCs/>
          <w:kern w:val="0"/>
          <w:sz w:val="40"/>
          <w:szCs w:val="40"/>
          <w:lang w:eastAsia="ru-RU"/>
        </w:rPr>
        <w:t>Б</w:t>
      </w:r>
      <w:proofErr w:type="gramStart"/>
      <w:r w:rsidRPr="00C66163">
        <w:rPr>
          <w:b/>
          <w:bCs/>
          <w:i/>
          <w:iCs/>
          <w:kern w:val="0"/>
          <w:sz w:val="40"/>
          <w:szCs w:val="40"/>
          <w:lang w:eastAsia="ru-RU"/>
        </w:rPr>
        <w:t>1</w:t>
      </w:r>
      <w:proofErr w:type="gramEnd"/>
      <w:r w:rsidRPr="00C66163">
        <w:rPr>
          <w:b/>
          <w:bCs/>
          <w:i/>
          <w:iCs/>
          <w:kern w:val="0"/>
          <w:sz w:val="40"/>
          <w:szCs w:val="40"/>
          <w:lang w:eastAsia="ru-RU"/>
        </w:rPr>
        <w:t>.В.ДВ.06.02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C66163">
        <w:rPr>
          <w:b/>
          <w:bCs/>
          <w:i/>
          <w:iCs/>
          <w:kern w:val="0"/>
          <w:sz w:val="40"/>
          <w:szCs w:val="40"/>
          <w:lang w:eastAsia="ru-RU"/>
        </w:rPr>
        <w:t>Энергообеспечение мобильных роботов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5466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C2D3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C2D3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C2D3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C66163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 xml:space="preserve">Проблемы энергообеспечения </w:t>
            </w:r>
            <w:proofErr w:type="spellStart"/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мехатронных</w:t>
            </w:r>
            <w:proofErr w:type="spellEnd"/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 xml:space="preserve"> и робототехнических систем</w:t>
            </w:r>
            <w:r>
              <w:rPr>
                <w:i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0C2D32" w:rsidRPr="002E634F" w:rsidRDefault="000C2D3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66163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66163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Первичные источники электрической эне</w:t>
            </w: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р</w:t>
            </w: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гии.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2E634F" w:rsidRPr="00C867FA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66163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66163">
              <w:rPr>
                <w:i/>
                <w:sz w:val="24"/>
                <w:szCs w:val="24"/>
              </w:rPr>
              <w:t>Вторичные источники электропитания, о</w:t>
            </w:r>
            <w:r w:rsidRPr="00C66163">
              <w:rPr>
                <w:i/>
                <w:sz w:val="24"/>
                <w:szCs w:val="24"/>
              </w:rPr>
              <w:t>с</w:t>
            </w:r>
            <w:r w:rsidRPr="00C66163">
              <w:rPr>
                <w:i/>
                <w:sz w:val="24"/>
                <w:szCs w:val="24"/>
              </w:rPr>
              <w:t>новные параметры и классификация</w:t>
            </w:r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2E634F" w:rsidRPr="00C867FA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66163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66163">
              <w:rPr>
                <w:i/>
                <w:sz w:val="24"/>
                <w:szCs w:val="24"/>
              </w:rPr>
              <w:t>Линейные вторичные источники электропитания.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2E634F" w:rsidRPr="00C867FA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66163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Импульсные вторичные источники эле</w:t>
            </w: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к</w:t>
            </w:r>
            <w:r w:rsidRPr="00C66163">
              <w:rPr>
                <w:i/>
                <w:color w:val="000000"/>
                <w:spacing w:val="1"/>
                <w:sz w:val="24"/>
                <w:szCs w:val="24"/>
              </w:rPr>
              <w:t>тропитания.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ПК-2.5-В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ПК-6.2-У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ПК-6.3-У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ПК-6.3-В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ПК-6.4-З</w:t>
            </w:r>
          </w:p>
          <w:p w:rsidR="000C2D32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ПК-6.4-У</w:t>
            </w:r>
          </w:p>
          <w:p w:rsidR="002E634F" w:rsidRPr="00C867FA" w:rsidRDefault="000C2D32" w:rsidP="000C2D3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66163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lastRenderedPageBreak/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C6616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C6616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C6616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66163">
        <w:rPr>
          <w:b/>
          <w:sz w:val="28"/>
          <w:szCs w:val="28"/>
        </w:rPr>
        <w:t xml:space="preserve">Вопросы к </w:t>
      </w:r>
      <w:r w:rsidR="000C2D32">
        <w:rPr>
          <w:b/>
          <w:sz w:val="28"/>
          <w:szCs w:val="28"/>
        </w:rPr>
        <w:t>зачёту</w:t>
      </w:r>
      <w:r w:rsidRPr="00C66163">
        <w:rPr>
          <w:b/>
          <w:sz w:val="28"/>
          <w:szCs w:val="28"/>
        </w:rPr>
        <w:t xml:space="preserve"> по дисциплине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b/>
          <w:sz w:val="28"/>
          <w:szCs w:val="28"/>
        </w:rPr>
      </w:pPr>
    </w:p>
    <w:p w:rsidR="00C66163" w:rsidRDefault="00C66163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66163">
        <w:rPr>
          <w:sz w:val="28"/>
          <w:szCs w:val="28"/>
        </w:rPr>
        <w:t>Электромагнитные ИЭЭ. Химические источники электрической энергии. Тепловые источники. Ядерные, термоядерные, изотопные. Солнечные батареи. Альтернативные источники ЭЭ.</w:t>
      </w:r>
    </w:p>
    <w:p w:rsidR="00C66163" w:rsidRDefault="00C66163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C66163">
        <w:rPr>
          <w:sz w:val="28"/>
          <w:szCs w:val="28"/>
        </w:rPr>
        <w:t>Внешняя (нагрузочная) характеристика. Внутреннее (выходное) сопр</w:t>
      </w:r>
      <w:r w:rsidRPr="00C66163">
        <w:rPr>
          <w:sz w:val="28"/>
          <w:szCs w:val="28"/>
        </w:rPr>
        <w:t>о</w:t>
      </w:r>
      <w:r w:rsidRPr="00C66163">
        <w:rPr>
          <w:sz w:val="28"/>
          <w:szCs w:val="28"/>
        </w:rPr>
        <w:t>тивление источника питания. Коэффициент пульсаций. Коэффициент нест</w:t>
      </w:r>
      <w:r w:rsidRPr="00C66163">
        <w:rPr>
          <w:sz w:val="28"/>
          <w:szCs w:val="28"/>
        </w:rPr>
        <w:t>а</w:t>
      </w:r>
      <w:r w:rsidRPr="00C66163">
        <w:rPr>
          <w:sz w:val="28"/>
          <w:szCs w:val="28"/>
        </w:rPr>
        <w:t>бильности по напряжению. Коэффициент полезного действия. Удельные габ</w:t>
      </w:r>
      <w:r w:rsidRPr="00C66163">
        <w:rPr>
          <w:sz w:val="28"/>
          <w:szCs w:val="28"/>
        </w:rPr>
        <w:t>а</w:t>
      </w:r>
      <w:r w:rsidRPr="00C66163">
        <w:rPr>
          <w:sz w:val="28"/>
          <w:szCs w:val="28"/>
        </w:rPr>
        <w:t>ритно-массовые показатели.</w:t>
      </w:r>
    </w:p>
    <w:p w:rsidR="00C66163" w:rsidRDefault="00C66163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0C2D32">
        <w:rPr>
          <w:sz w:val="28"/>
          <w:szCs w:val="28"/>
        </w:rPr>
        <w:t>Классификация ХИТ. Гальванические элементы. Аккумуляторы. То</w:t>
      </w:r>
      <w:r w:rsidRPr="000C2D32">
        <w:rPr>
          <w:sz w:val="28"/>
          <w:szCs w:val="28"/>
        </w:rPr>
        <w:t>п</w:t>
      </w:r>
      <w:r w:rsidRPr="000C2D32">
        <w:rPr>
          <w:sz w:val="28"/>
          <w:szCs w:val="28"/>
        </w:rPr>
        <w:t>ливные элементы.</w:t>
      </w:r>
      <w:r w:rsidR="000C2D32" w:rsidRPr="000C2D32"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>Электрические параметры ХИТ. Эксплуатационные характ</w:t>
      </w:r>
      <w:r w:rsidRPr="000C2D32">
        <w:rPr>
          <w:sz w:val="28"/>
          <w:szCs w:val="28"/>
        </w:rPr>
        <w:t>е</w:t>
      </w:r>
      <w:r w:rsidRPr="000C2D32">
        <w:rPr>
          <w:sz w:val="28"/>
          <w:szCs w:val="28"/>
        </w:rPr>
        <w:t>ристики ХИТ. Конструкционные характеристики ХИТ.</w:t>
      </w:r>
      <w:r w:rsidR="000C2D32" w:rsidRPr="000C2D32"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>Коммутация ХИТ. П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>следовательное соединение. Параллельное соединение. Параллельно -  посл</w:t>
      </w:r>
      <w:r w:rsidRPr="000C2D32">
        <w:rPr>
          <w:sz w:val="28"/>
          <w:szCs w:val="28"/>
        </w:rPr>
        <w:t>е</w:t>
      </w:r>
      <w:r w:rsidRPr="000C2D32">
        <w:rPr>
          <w:sz w:val="28"/>
          <w:szCs w:val="28"/>
        </w:rPr>
        <w:t>довательное соединение.</w:t>
      </w:r>
      <w:r w:rsidR="000C2D32" w:rsidRPr="000C2D32"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>Солевые марганцево-цинковые элементы. Щелочные марганцево-цинковые элементы. Медно-цинковые элементы. Ртутно-цинковые (РЦ) элементы.  Серебряно-цинковые элементы. Воздушно-цинковые элементы.  Первичные литиевые источники тока. Литиевые ХИТ с твердым электролитом.</w:t>
      </w:r>
      <w:r w:rsidR="000C2D32" w:rsidRPr="000C2D32">
        <w:rPr>
          <w:sz w:val="28"/>
          <w:szCs w:val="28"/>
        </w:rPr>
        <w:t xml:space="preserve"> </w:t>
      </w:r>
      <w:proofErr w:type="spellStart"/>
      <w:r w:rsidRPr="000C2D32">
        <w:rPr>
          <w:sz w:val="28"/>
          <w:szCs w:val="28"/>
        </w:rPr>
        <w:t>Водоактивируемые</w:t>
      </w:r>
      <w:proofErr w:type="spellEnd"/>
      <w:r w:rsidRPr="000C2D32">
        <w:rPr>
          <w:sz w:val="28"/>
          <w:szCs w:val="28"/>
        </w:rPr>
        <w:t xml:space="preserve"> батареи.  Серебряно- магниевые батареи.  Водно-литиевый элемент. Ампульные резервные батареи.  Тепловые батареи.</w:t>
      </w:r>
      <w:r w:rsidR="000C2D32" w:rsidRPr="000C2D32"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>Классификация ВХИТ, классификация, характеристики,  Режим переключения. Буферный р</w:t>
      </w:r>
      <w:r w:rsidRPr="000C2D32">
        <w:rPr>
          <w:sz w:val="28"/>
          <w:szCs w:val="28"/>
        </w:rPr>
        <w:t>е</w:t>
      </w:r>
      <w:r w:rsidRPr="000C2D32">
        <w:rPr>
          <w:sz w:val="28"/>
          <w:szCs w:val="28"/>
        </w:rPr>
        <w:t xml:space="preserve">жим. Аварийный режим. </w:t>
      </w:r>
      <w:proofErr w:type="spellStart"/>
      <w:r w:rsidRPr="000C2D32">
        <w:rPr>
          <w:sz w:val="28"/>
          <w:szCs w:val="28"/>
        </w:rPr>
        <w:t>Свинцово-кислотнный</w:t>
      </w:r>
      <w:proofErr w:type="spellEnd"/>
      <w:r w:rsidRPr="000C2D32">
        <w:rPr>
          <w:sz w:val="28"/>
          <w:szCs w:val="28"/>
        </w:rPr>
        <w:t xml:space="preserve"> аккумулятор с жидким эле</w:t>
      </w:r>
      <w:r w:rsidRPr="000C2D32">
        <w:rPr>
          <w:sz w:val="28"/>
          <w:szCs w:val="28"/>
        </w:rPr>
        <w:t>к</w:t>
      </w:r>
      <w:r w:rsidRPr="000C2D32">
        <w:rPr>
          <w:sz w:val="28"/>
          <w:szCs w:val="28"/>
        </w:rPr>
        <w:t>тролитом. Герметизированные свинцово- кислотные аккумуляторы. Способы заряда свинцово-кислотных аккумуляторов. Никель-кадмиевые аккумуляторы. Никель- железные аккумуляторы. Никель- металлогидридные аккумуляторы. Методы заряда герметичных щелочных никель- кадмиевых никель- металл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>гидридных аккумуляторов. Серебряно-цинковые (</w:t>
      </w:r>
      <w:proofErr w:type="spellStart"/>
      <w:r w:rsidRPr="000C2D32">
        <w:rPr>
          <w:sz w:val="28"/>
          <w:szCs w:val="28"/>
        </w:rPr>
        <w:t>сц</w:t>
      </w:r>
      <w:proofErr w:type="spellEnd"/>
      <w:r w:rsidRPr="000C2D32">
        <w:rPr>
          <w:sz w:val="28"/>
          <w:szCs w:val="28"/>
        </w:rPr>
        <w:t>) аккумуляторы. Литий-ионные аккумуляторы. Методы заряда литий-ионных аккумуляторов. Литий- полимерные аккумуляторы. Батареи из лити</w:t>
      </w:r>
      <w:proofErr w:type="gramStart"/>
      <w:r w:rsidRPr="000C2D32">
        <w:rPr>
          <w:sz w:val="28"/>
          <w:szCs w:val="28"/>
        </w:rPr>
        <w:t>й-</w:t>
      </w:r>
      <w:proofErr w:type="gramEnd"/>
      <w:r w:rsidRPr="000C2D32">
        <w:rPr>
          <w:sz w:val="28"/>
          <w:szCs w:val="28"/>
        </w:rPr>
        <w:t xml:space="preserve"> ионных  и литий-полимерных а</w:t>
      </w:r>
      <w:r w:rsidRPr="000C2D32">
        <w:rPr>
          <w:sz w:val="28"/>
          <w:szCs w:val="28"/>
        </w:rPr>
        <w:t>к</w:t>
      </w:r>
      <w:r w:rsidRPr="000C2D32">
        <w:rPr>
          <w:sz w:val="28"/>
          <w:szCs w:val="28"/>
        </w:rPr>
        <w:t>кумуляторов. Классификация ХИТ. Гальванические элементы. Аккумуляторы. Топливные элементы. Электрические параметры ХИТ. Эксплуатационные х</w:t>
      </w:r>
      <w:r w:rsidRPr="000C2D32">
        <w:rPr>
          <w:sz w:val="28"/>
          <w:szCs w:val="28"/>
        </w:rPr>
        <w:t>а</w:t>
      </w:r>
      <w:r w:rsidRPr="000C2D32">
        <w:rPr>
          <w:sz w:val="28"/>
          <w:szCs w:val="28"/>
        </w:rPr>
        <w:t>рактеристики ХИТ. Конструкционные характеристики ХИТ. Коммутация ХИТ. Последовательное соединение. Параллельное соединение. Параллельно -  п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>следовательное соединение. Солевые марганцево-цинковые элементы. Щело</w:t>
      </w:r>
      <w:r w:rsidRPr="000C2D32">
        <w:rPr>
          <w:sz w:val="28"/>
          <w:szCs w:val="28"/>
        </w:rPr>
        <w:t>ч</w:t>
      </w:r>
      <w:r w:rsidRPr="000C2D32">
        <w:rPr>
          <w:sz w:val="28"/>
          <w:szCs w:val="28"/>
        </w:rPr>
        <w:t xml:space="preserve">ные марганцево-цинковые элементы. Медно-цинковые элементы. Ртутно-цинковые (РЦ) элементы.  Серебряно-цинковые элементы. Воздушно-цинковые </w:t>
      </w:r>
      <w:r w:rsidRPr="000C2D32">
        <w:rPr>
          <w:sz w:val="28"/>
          <w:szCs w:val="28"/>
        </w:rPr>
        <w:lastRenderedPageBreak/>
        <w:t xml:space="preserve">элементы.  Первичные литиевые источники тока. Литиевые ХИТ с твердым электролитом. </w:t>
      </w:r>
      <w:proofErr w:type="spellStart"/>
      <w:r w:rsidRPr="000C2D32">
        <w:rPr>
          <w:sz w:val="28"/>
          <w:szCs w:val="28"/>
        </w:rPr>
        <w:t>Водоактивируемые</w:t>
      </w:r>
      <w:proofErr w:type="spellEnd"/>
      <w:r w:rsidRPr="000C2D32">
        <w:rPr>
          <w:sz w:val="28"/>
          <w:szCs w:val="28"/>
        </w:rPr>
        <w:t xml:space="preserve"> батареи.  Серебряно- магниевые батареи.  Водно-литиевый элемент. Ампульные резервные батареи.  Тепловые батареи. Классификация ВХИТ, классификация, характеристики,  Режим переключения. Буферный режим. Аварийный режим. </w:t>
      </w:r>
      <w:proofErr w:type="spellStart"/>
      <w:r w:rsidRPr="000C2D32">
        <w:rPr>
          <w:sz w:val="28"/>
          <w:szCs w:val="28"/>
        </w:rPr>
        <w:t>Свинцово-кислотнный</w:t>
      </w:r>
      <w:proofErr w:type="spellEnd"/>
      <w:r w:rsidRPr="000C2D32">
        <w:rPr>
          <w:sz w:val="28"/>
          <w:szCs w:val="28"/>
        </w:rPr>
        <w:t xml:space="preserve"> аккумулятор с жидким электролитом. Герметизированные свинцово- кислотные аккумуляторы. Способы заряда свинцово-кислотных аккумуляторов. Никель-кадмиевые акк</w:t>
      </w:r>
      <w:r w:rsidRPr="000C2D32">
        <w:rPr>
          <w:sz w:val="28"/>
          <w:szCs w:val="28"/>
        </w:rPr>
        <w:t>у</w:t>
      </w:r>
      <w:r w:rsidRPr="000C2D32">
        <w:rPr>
          <w:sz w:val="28"/>
          <w:szCs w:val="28"/>
        </w:rPr>
        <w:t>муляторы. Никель- железные аккумуляторы. Никель-</w:t>
      </w:r>
      <w:r w:rsidR="000C2D32" w:rsidRPr="000C2D32">
        <w:t xml:space="preserve"> </w:t>
      </w:r>
      <w:r w:rsidR="000C2D32" w:rsidRPr="000C2D32">
        <w:rPr>
          <w:sz w:val="28"/>
          <w:szCs w:val="28"/>
        </w:rPr>
        <w:t>металлогидридные акк</w:t>
      </w:r>
      <w:r w:rsidR="000C2D32" w:rsidRPr="000C2D32">
        <w:rPr>
          <w:sz w:val="28"/>
          <w:szCs w:val="28"/>
        </w:rPr>
        <w:t>у</w:t>
      </w:r>
      <w:r w:rsidR="000C2D32" w:rsidRPr="000C2D32">
        <w:rPr>
          <w:sz w:val="28"/>
          <w:szCs w:val="28"/>
        </w:rPr>
        <w:t>муляторы. Методы заряда герметичных щелочных никель- кадмиевых никель- металлогидридных аккумуляторов. Серебряно-цинковые (</w:t>
      </w:r>
      <w:proofErr w:type="spellStart"/>
      <w:r w:rsidR="000C2D32" w:rsidRPr="000C2D32">
        <w:rPr>
          <w:sz w:val="28"/>
          <w:szCs w:val="28"/>
        </w:rPr>
        <w:t>сц</w:t>
      </w:r>
      <w:proofErr w:type="spellEnd"/>
      <w:r w:rsidR="000C2D32" w:rsidRPr="000C2D32">
        <w:rPr>
          <w:sz w:val="28"/>
          <w:szCs w:val="28"/>
        </w:rPr>
        <w:t>) аккумуляторы.</w:t>
      </w:r>
      <w:r w:rsidR="000C2D32">
        <w:rPr>
          <w:sz w:val="28"/>
          <w:szCs w:val="28"/>
        </w:rPr>
        <w:t xml:space="preserve"> </w:t>
      </w:r>
      <w:r w:rsidR="000C2D32" w:rsidRPr="000C2D32">
        <w:rPr>
          <w:sz w:val="28"/>
          <w:szCs w:val="28"/>
        </w:rPr>
        <w:t>Литий-ионные аккумуляторы. Методы заряда литий-ионных аккумуляторов. Литий- полимерные аккумуляторы. Батареи из лити</w:t>
      </w:r>
      <w:proofErr w:type="gramStart"/>
      <w:r w:rsidR="000C2D32" w:rsidRPr="000C2D32">
        <w:rPr>
          <w:sz w:val="28"/>
          <w:szCs w:val="28"/>
        </w:rPr>
        <w:t>й-</w:t>
      </w:r>
      <w:proofErr w:type="gramEnd"/>
      <w:r w:rsidR="000C2D32" w:rsidRPr="000C2D32">
        <w:rPr>
          <w:sz w:val="28"/>
          <w:szCs w:val="28"/>
        </w:rPr>
        <w:t xml:space="preserve"> ионных  и литий-полимерных аккумуляторов.</w:t>
      </w:r>
    </w:p>
    <w:p w:rsidR="000C2D32" w:rsidRDefault="000C2D32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0C2D32">
        <w:rPr>
          <w:sz w:val="28"/>
          <w:szCs w:val="28"/>
        </w:rPr>
        <w:t>Классификация ИВЭП. Линейные и импульсные ИВЭП. Входные хара</w:t>
      </w:r>
      <w:r w:rsidRPr="000C2D32">
        <w:rPr>
          <w:sz w:val="28"/>
          <w:szCs w:val="28"/>
        </w:rPr>
        <w:t>к</w:t>
      </w:r>
      <w:r w:rsidRPr="000C2D32">
        <w:rPr>
          <w:sz w:val="28"/>
          <w:szCs w:val="28"/>
        </w:rPr>
        <w:t>теристики. Выходные характеристики. Эксплуатационные характеристики. Н</w:t>
      </w:r>
      <w:r w:rsidRPr="000C2D32">
        <w:rPr>
          <w:sz w:val="28"/>
          <w:szCs w:val="28"/>
        </w:rPr>
        <w:t>е</w:t>
      </w:r>
      <w:r w:rsidRPr="000C2D32">
        <w:rPr>
          <w:sz w:val="28"/>
          <w:szCs w:val="28"/>
        </w:rPr>
        <w:t>стабилизируемые ИВЭП. Стабилизируемые ИВЭП. Основные параметры ст</w:t>
      </w:r>
      <w:r w:rsidRPr="000C2D32">
        <w:rPr>
          <w:sz w:val="28"/>
          <w:szCs w:val="28"/>
        </w:rPr>
        <w:t>а</w:t>
      </w:r>
      <w:r w:rsidRPr="000C2D32">
        <w:rPr>
          <w:sz w:val="28"/>
          <w:szCs w:val="28"/>
        </w:rPr>
        <w:t>билизированных ИВЭП. Параметрический стабилизатор. Компенсационный стабилизатор. Методы защиты линейного стабилизатора. Интегральные стаб</w:t>
      </w:r>
      <w:r w:rsidRPr="000C2D32">
        <w:rPr>
          <w:sz w:val="28"/>
          <w:szCs w:val="28"/>
        </w:rPr>
        <w:t>и</w:t>
      </w:r>
      <w:r w:rsidRPr="000C2D32">
        <w:rPr>
          <w:sz w:val="28"/>
          <w:szCs w:val="28"/>
        </w:rPr>
        <w:t>лизаторы. ИВЭП на основе интегральных стабилизаторов. ИОН на стабилитр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 xml:space="preserve">не. </w:t>
      </w:r>
      <w:proofErr w:type="spellStart"/>
      <w:r w:rsidRPr="000C2D32">
        <w:rPr>
          <w:sz w:val="28"/>
          <w:szCs w:val="28"/>
        </w:rPr>
        <w:t>Стабилитронные</w:t>
      </w:r>
      <w:proofErr w:type="spellEnd"/>
      <w:r w:rsidRPr="000C2D32">
        <w:rPr>
          <w:sz w:val="28"/>
          <w:szCs w:val="28"/>
        </w:rPr>
        <w:t xml:space="preserve"> ИМС</w:t>
      </w:r>
      <w:r>
        <w:rPr>
          <w:sz w:val="28"/>
          <w:szCs w:val="28"/>
        </w:rPr>
        <w:t>.</w:t>
      </w:r>
    </w:p>
    <w:p w:rsidR="000C2D32" w:rsidRPr="000C2D32" w:rsidRDefault="000C2D32" w:rsidP="000C2D32">
      <w:pPr>
        <w:pStyle w:val="afa"/>
        <w:numPr>
          <w:ilvl w:val="0"/>
          <w:numId w:val="44"/>
        </w:numPr>
        <w:tabs>
          <w:tab w:val="left" w:pos="851"/>
        </w:tabs>
        <w:spacing w:line="240" w:lineRule="auto"/>
        <w:ind w:left="0" w:firstLine="567"/>
        <w:rPr>
          <w:sz w:val="28"/>
          <w:szCs w:val="28"/>
        </w:rPr>
      </w:pPr>
      <w:r w:rsidRPr="000C2D32">
        <w:rPr>
          <w:sz w:val="28"/>
          <w:szCs w:val="28"/>
        </w:rPr>
        <w:t xml:space="preserve">Преобразователь с ШИМ. Преобразователь с релейным управлением. Обратноходовой преобразователь. </w:t>
      </w:r>
      <w:proofErr w:type="spellStart"/>
      <w:r w:rsidRPr="000C2D32">
        <w:rPr>
          <w:sz w:val="28"/>
          <w:szCs w:val="28"/>
        </w:rPr>
        <w:t>Прямоходовый</w:t>
      </w:r>
      <w:proofErr w:type="spellEnd"/>
      <w:r w:rsidRPr="000C2D32">
        <w:rPr>
          <w:sz w:val="28"/>
          <w:szCs w:val="28"/>
        </w:rPr>
        <w:t xml:space="preserve"> преобразователь. </w:t>
      </w:r>
      <w:proofErr w:type="spellStart"/>
      <w:r w:rsidRPr="000C2D32">
        <w:rPr>
          <w:sz w:val="28"/>
          <w:szCs w:val="28"/>
        </w:rPr>
        <w:t>Обратнох</w:t>
      </w:r>
      <w:r w:rsidRPr="000C2D32">
        <w:rPr>
          <w:sz w:val="28"/>
          <w:szCs w:val="28"/>
        </w:rPr>
        <w:t>о</w:t>
      </w:r>
      <w:r w:rsidRPr="000C2D32">
        <w:rPr>
          <w:sz w:val="28"/>
          <w:szCs w:val="28"/>
        </w:rPr>
        <w:t>довый</w:t>
      </w:r>
      <w:proofErr w:type="spellEnd"/>
      <w:r w:rsidRPr="000C2D32">
        <w:rPr>
          <w:sz w:val="28"/>
          <w:szCs w:val="28"/>
        </w:rPr>
        <w:t xml:space="preserve"> преобразователь с несколькими выходами. Классификация. Понижа</w:t>
      </w:r>
      <w:r w:rsidRPr="000C2D32">
        <w:rPr>
          <w:sz w:val="28"/>
          <w:szCs w:val="28"/>
        </w:rPr>
        <w:t>ю</w:t>
      </w:r>
      <w:r w:rsidRPr="000C2D32">
        <w:rPr>
          <w:sz w:val="28"/>
          <w:szCs w:val="28"/>
        </w:rPr>
        <w:t xml:space="preserve">щий </w:t>
      </w:r>
      <w:proofErr w:type="spellStart"/>
      <w:r w:rsidRPr="000C2D32">
        <w:rPr>
          <w:sz w:val="28"/>
          <w:szCs w:val="28"/>
        </w:rPr>
        <w:t>прямоходовый</w:t>
      </w:r>
      <w:proofErr w:type="spellEnd"/>
      <w:r w:rsidRPr="000C2D32">
        <w:rPr>
          <w:sz w:val="28"/>
          <w:szCs w:val="28"/>
        </w:rPr>
        <w:t xml:space="preserve"> DC-DC конвертор (</w:t>
      </w:r>
      <w:proofErr w:type="spellStart"/>
      <w:r w:rsidRPr="000C2D32">
        <w:rPr>
          <w:sz w:val="28"/>
          <w:szCs w:val="28"/>
        </w:rPr>
        <w:t>Buck</w:t>
      </w:r>
      <w:proofErr w:type="spellEnd"/>
      <w:r w:rsidRPr="000C2D32">
        <w:rPr>
          <w:sz w:val="28"/>
          <w:szCs w:val="28"/>
        </w:rPr>
        <w:t xml:space="preserve">). Повышающий </w:t>
      </w:r>
      <w:proofErr w:type="spellStart"/>
      <w:r w:rsidRPr="000C2D32">
        <w:rPr>
          <w:sz w:val="28"/>
          <w:szCs w:val="28"/>
        </w:rPr>
        <w:t>обратноходовый</w:t>
      </w:r>
      <w:proofErr w:type="spellEnd"/>
      <w:r w:rsidRPr="000C2D32">
        <w:rPr>
          <w:sz w:val="28"/>
          <w:szCs w:val="28"/>
        </w:rPr>
        <w:t xml:space="preserve"> DC – DC конвертор (</w:t>
      </w:r>
      <w:proofErr w:type="spellStart"/>
      <w:r w:rsidRPr="000C2D32">
        <w:rPr>
          <w:sz w:val="28"/>
          <w:szCs w:val="28"/>
        </w:rPr>
        <w:t>Boost</w:t>
      </w:r>
      <w:proofErr w:type="spellEnd"/>
      <w:r w:rsidRPr="000C2D32">
        <w:rPr>
          <w:sz w:val="28"/>
          <w:szCs w:val="28"/>
        </w:rPr>
        <w:t xml:space="preserve">). Инвертирующий </w:t>
      </w:r>
      <w:proofErr w:type="spellStart"/>
      <w:r w:rsidRPr="000C2D32">
        <w:rPr>
          <w:sz w:val="28"/>
          <w:szCs w:val="28"/>
        </w:rPr>
        <w:t>обратноходовый</w:t>
      </w:r>
      <w:proofErr w:type="spellEnd"/>
      <w:r w:rsidRPr="000C2D32">
        <w:rPr>
          <w:sz w:val="28"/>
          <w:szCs w:val="28"/>
        </w:rPr>
        <w:t xml:space="preserve"> DC – DC конве</w:t>
      </w:r>
      <w:r w:rsidRPr="000C2D32">
        <w:rPr>
          <w:sz w:val="28"/>
          <w:szCs w:val="28"/>
        </w:rPr>
        <w:t>р</w:t>
      </w:r>
      <w:r w:rsidRPr="000C2D32">
        <w:rPr>
          <w:sz w:val="28"/>
          <w:szCs w:val="28"/>
        </w:rPr>
        <w:t>тор (</w:t>
      </w:r>
      <w:proofErr w:type="spellStart"/>
      <w:r w:rsidRPr="000C2D32">
        <w:rPr>
          <w:sz w:val="28"/>
          <w:szCs w:val="28"/>
        </w:rPr>
        <w:t>Buck</w:t>
      </w:r>
      <w:proofErr w:type="spellEnd"/>
      <w:r w:rsidRPr="000C2D32">
        <w:rPr>
          <w:sz w:val="28"/>
          <w:szCs w:val="28"/>
        </w:rPr>
        <w:t xml:space="preserve"> – </w:t>
      </w:r>
      <w:proofErr w:type="spellStart"/>
      <w:r w:rsidRPr="000C2D32">
        <w:rPr>
          <w:sz w:val="28"/>
          <w:szCs w:val="28"/>
        </w:rPr>
        <w:t>Boost</w:t>
      </w:r>
      <w:proofErr w:type="spellEnd"/>
      <w:r w:rsidRPr="000C2D32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0C2D32">
        <w:rPr>
          <w:sz w:val="28"/>
          <w:szCs w:val="28"/>
        </w:rPr>
        <w:t xml:space="preserve">Понижающий конвертор на ИМС МАХ 638. </w:t>
      </w:r>
      <w:proofErr w:type="spellStart"/>
      <w:r w:rsidRPr="000C2D32">
        <w:rPr>
          <w:sz w:val="28"/>
          <w:szCs w:val="28"/>
        </w:rPr>
        <w:t>Двуполярный</w:t>
      </w:r>
      <w:proofErr w:type="spellEnd"/>
      <w:r w:rsidRPr="000C2D32">
        <w:rPr>
          <w:sz w:val="28"/>
          <w:szCs w:val="28"/>
        </w:rPr>
        <w:t xml:space="preserve"> повышающий DC – DC конвертор. Повышающий DC – DC конвертор на ИМС КР 1156 ЕУ1. DC – DC  конверторы  с переключаемыми конденсаторами. </w:t>
      </w:r>
      <w:proofErr w:type="spellStart"/>
      <w:r w:rsidRPr="000C2D32">
        <w:rPr>
          <w:sz w:val="28"/>
          <w:szCs w:val="28"/>
        </w:rPr>
        <w:t>Дв</w:t>
      </w:r>
      <w:r w:rsidRPr="000C2D32">
        <w:rPr>
          <w:sz w:val="28"/>
          <w:szCs w:val="28"/>
        </w:rPr>
        <w:t>у</w:t>
      </w:r>
      <w:r w:rsidRPr="000C2D32">
        <w:rPr>
          <w:sz w:val="28"/>
          <w:szCs w:val="28"/>
        </w:rPr>
        <w:t>полярный</w:t>
      </w:r>
      <w:proofErr w:type="spellEnd"/>
      <w:r w:rsidRPr="000C2D32">
        <w:rPr>
          <w:sz w:val="28"/>
          <w:szCs w:val="28"/>
        </w:rPr>
        <w:t xml:space="preserve"> DC –DC конвертер на ИМС МАХ 680. Двухканальный понижающий DC/DC регулятор  ISL8203M.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6C9" w:rsidRDefault="005A06C9" w:rsidP="0013300F">
      <w:pPr>
        <w:spacing w:line="240" w:lineRule="auto"/>
      </w:pPr>
      <w:r>
        <w:separator/>
      </w:r>
    </w:p>
  </w:endnote>
  <w:endnote w:type="continuationSeparator" w:id="0">
    <w:p w:rsidR="005A06C9" w:rsidRDefault="005A06C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291513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5466F">
      <w:rPr>
        <w:noProof/>
      </w:rPr>
      <w:t>7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6C9" w:rsidRDefault="005A06C9" w:rsidP="0013300F">
      <w:pPr>
        <w:spacing w:line="240" w:lineRule="auto"/>
      </w:pPr>
      <w:r>
        <w:separator/>
      </w:r>
    </w:p>
  </w:footnote>
  <w:footnote w:type="continuationSeparator" w:id="0">
    <w:p w:rsidR="005A06C9" w:rsidRDefault="005A06C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7D87423"/>
    <w:multiLevelType w:val="hybridMultilevel"/>
    <w:tmpl w:val="4D9822F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7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  <w:num w:numId="44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2D32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513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6C9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C3B41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163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5466F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66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3</cp:revision>
  <dcterms:created xsi:type="dcterms:W3CDTF">2021-07-17T19:15:00Z</dcterms:created>
  <dcterms:modified xsi:type="dcterms:W3CDTF">2023-07-25T08:50:00Z</dcterms:modified>
</cp:coreProperties>
</file>