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4B0FFC" w:rsidRDefault="009F181F" w:rsidP="009F181F">
      <w:pPr>
        <w:ind w:left="-567" w:right="599"/>
        <w:jc w:val="center"/>
        <w:rPr>
          <w:i/>
          <w:sz w:val="28"/>
          <w:szCs w:val="28"/>
        </w:rPr>
      </w:pPr>
      <w:r w:rsidRPr="004B0FFC">
        <w:rPr>
          <w:sz w:val="28"/>
          <w:szCs w:val="28"/>
        </w:rPr>
        <w:t xml:space="preserve">Кафедра </w:t>
      </w:r>
      <w:r w:rsidRPr="004B0FFC">
        <w:rPr>
          <w:rFonts w:eastAsia="TimesNewRomanPSMT"/>
          <w:i/>
          <w:color w:val="000000"/>
          <w:sz w:val="28"/>
          <w:szCs w:val="28"/>
          <w:lang w:eastAsia="zh-CN"/>
        </w:rPr>
        <w:t>«</w:t>
      </w:r>
      <w:r w:rsidR="00A32F22">
        <w:rPr>
          <w:rStyle w:val="a8"/>
          <w:i w:val="0"/>
          <w:sz w:val="28"/>
          <w:szCs w:val="28"/>
        </w:rPr>
        <w:t>ТОР</w:t>
      </w:r>
      <w:r w:rsidR="004B0FFC" w:rsidRPr="004B0FFC">
        <w:rPr>
          <w:rStyle w:val="a8"/>
          <w:i w:val="0"/>
          <w:sz w:val="28"/>
          <w:szCs w:val="28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7714CA" w:rsidRPr="007A04EC" w:rsidRDefault="007714CA" w:rsidP="004B0FFC">
      <w:pPr>
        <w:spacing w:line="264" w:lineRule="auto"/>
        <w:jc w:val="center"/>
        <w:rPr>
          <w:sz w:val="28"/>
          <w:szCs w:val="28"/>
        </w:rPr>
      </w:pPr>
    </w:p>
    <w:p w:rsidR="007A04EC" w:rsidRDefault="007A04EC" w:rsidP="004B0FFC">
      <w:pPr>
        <w:spacing w:line="264" w:lineRule="auto"/>
        <w:jc w:val="center"/>
        <w:rPr>
          <w:sz w:val="28"/>
          <w:szCs w:val="28"/>
        </w:rPr>
      </w:pPr>
    </w:p>
    <w:p w:rsidR="00E80C04" w:rsidRPr="00A32F22" w:rsidRDefault="00A32F22" w:rsidP="004B0FFC">
      <w:pPr>
        <w:spacing w:line="264" w:lineRule="auto"/>
        <w:jc w:val="center"/>
        <w:rPr>
          <w:sz w:val="28"/>
          <w:szCs w:val="28"/>
        </w:rPr>
      </w:pPr>
      <w:r w:rsidRPr="00A32F22">
        <w:rPr>
          <w:sz w:val="28"/>
          <w:szCs w:val="28"/>
        </w:rPr>
        <w:t xml:space="preserve">11.03.02 </w:t>
      </w:r>
      <w:r>
        <w:rPr>
          <w:sz w:val="28"/>
          <w:szCs w:val="28"/>
        </w:rPr>
        <w:t>«</w:t>
      </w:r>
      <w:r w:rsidRPr="00A32F22">
        <w:rPr>
          <w:sz w:val="28"/>
          <w:szCs w:val="28"/>
        </w:rPr>
        <w:t>Инфокоммуникационные технологии и системы связи</w:t>
      </w:r>
      <w:r>
        <w:rPr>
          <w:sz w:val="28"/>
          <w:szCs w:val="28"/>
        </w:rPr>
        <w:t>»</w:t>
      </w:r>
    </w:p>
    <w:p w:rsidR="00A32F22" w:rsidRDefault="00A32F22" w:rsidP="004B0FFC">
      <w:pPr>
        <w:spacing w:line="264" w:lineRule="auto"/>
        <w:jc w:val="center"/>
        <w:rPr>
          <w:sz w:val="28"/>
          <w:szCs w:val="28"/>
        </w:rPr>
      </w:pPr>
    </w:p>
    <w:p w:rsidR="0041178A" w:rsidRPr="00D347EB" w:rsidRDefault="0041178A" w:rsidP="004B0FFC">
      <w:pPr>
        <w:spacing w:line="264" w:lineRule="auto"/>
        <w:jc w:val="center"/>
        <w:rPr>
          <w:kern w:val="0"/>
          <w:sz w:val="28"/>
          <w:szCs w:val="28"/>
          <w:lang w:eastAsia="ru-RU"/>
        </w:rPr>
      </w:pPr>
      <w:r w:rsidRPr="00D347EB">
        <w:rPr>
          <w:sz w:val="28"/>
          <w:szCs w:val="28"/>
        </w:rPr>
        <w:t xml:space="preserve">Срок </w:t>
      </w:r>
      <w:r w:rsidR="00063A7B" w:rsidRPr="00D347EB">
        <w:rPr>
          <w:sz w:val="28"/>
          <w:szCs w:val="28"/>
        </w:rPr>
        <w:t xml:space="preserve">обучения </w:t>
      </w:r>
      <w:r w:rsidR="004B0FFC" w:rsidRPr="00D347EB">
        <w:rPr>
          <w:sz w:val="28"/>
          <w:szCs w:val="28"/>
        </w:rPr>
        <w:t>4</w:t>
      </w:r>
      <w:r w:rsidRPr="00D347EB">
        <w:rPr>
          <w:sz w:val="28"/>
          <w:szCs w:val="28"/>
        </w:rPr>
        <w:t xml:space="preserve"> </w:t>
      </w:r>
      <w:r w:rsidR="004B0FFC" w:rsidRPr="00D347EB">
        <w:rPr>
          <w:sz w:val="28"/>
          <w:szCs w:val="28"/>
        </w:rPr>
        <w:t>года</w:t>
      </w: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Квалификация выпускника - </w:t>
      </w:r>
      <w:r w:rsidR="004B0FFC">
        <w:rPr>
          <w:sz w:val="28"/>
          <w:szCs w:val="28"/>
        </w:rPr>
        <w:t>бакалавр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256175">
        <w:rPr>
          <w:rFonts w:eastAsia="TimesNewRomanPSMT"/>
          <w:kern w:val="0"/>
          <w:sz w:val="28"/>
          <w:szCs w:val="28"/>
        </w:rPr>
        <w:t>0</w:t>
      </w:r>
      <w:bookmarkStart w:id="0" w:name="_GoBack"/>
      <w:bookmarkEnd w:id="0"/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110522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>1</w:t>
      </w:r>
      <w:r w:rsidR="00110522">
        <w:rPr>
          <w:rFonts w:eastAsia="TimesNewRomanPSMT"/>
          <w:b/>
          <w:kern w:val="0"/>
          <w:sz w:val="24"/>
          <w:szCs w:val="24"/>
        </w:rPr>
        <w:t>.</w:t>
      </w:r>
      <w:r w:rsidRPr="00C161D8">
        <w:rPr>
          <w:rFonts w:eastAsia="TimesNewRomanPSMT"/>
          <w:b/>
          <w:kern w:val="0"/>
          <w:sz w:val="24"/>
          <w:szCs w:val="24"/>
        </w:rPr>
        <w:t xml:space="preserve"> МЕТОДИЧЕСКИЕ УКАЗАНИЯ ДЛЯ ОБУЧАЮЩИХСЯ ПО ОСВОЕНИЮ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P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>Профессор кафедры</w:t>
      </w:r>
    </w:p>
    <w:p w:rsidR="00110522" w:rsidRPr="00110522" w:rsidRDefault="00110522" w:rsidP="00110522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 xml:space="preserve">Истории, философии и права     </w:t>
      </w:r>
    </w:p>
    <w:p w:rsidR="006543B0" w:rsidRPr="00110522" w:rsidRDefault="00110522" w:rsidP="00110522">
      <w:pPr>
        <w:ind w:firstLine="0"/>
        <w:rPr>
          <w:sz w:val="24"/>
          <w:szCs w:val="24"/>
        </w:rPr>
      </w:pPr>
      <w:r w:rsidRPr="00110522">
        <w:rPr>
          <w:sz w:val="24"/>
          <w:szCs w:val="24"/>
        </w:rPr>
        <w:t xml:space="preserve">д.и.н.,  доцент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10522">
        <w:rPr>
          <w:sz w:val="24"/>
          <w:szCs w:val="24"/>
        </w:rPr>
        <w:t xml:space="preserve">В.В. Боярченков                                                                                                     </w:t>
      </w:r>
    </w:p>
    <w:p w:rsidR="00110522" w:rsidRPr="00110522" w:rsidRDefault="00110522">
      <w:pPr>
        <w:ind w:firstLine="0"/>
        <w:rPr>
          <w:sz w:val="24"/>
          <w:szCs w:val="24"/>
        </w:rPr>
      </w:pPr>
    </w:p>
    <w:sectPr w:rsidR="00110522" w:rsidRPr="00110522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5789F"/>
    <w:rsid w:val="000613C9"/>
    <w:rsid w:val="00063A7B"/>
    <w:rsid w:val="00110522"/>
    <w:rsid w:val="00174AEC"/>
    <w:rsid w:val="001F5390"/>
    <w:rsid w:val="00214ABC"/>
    <w:rsid w:val="00256175"/>
    <w:rsid w:val="002E58ED"/>
    <w:rsid w:val="003D45C9"/>
    <w:rsid w:val="0041178A"/>
    <w:rsid w:val="004439EF"/>
    <w:rsid w:val="00487FF5"/>
    <w:rsid w:val="004B0FFC"/>
    <w:rsid w:val="0061250A"/>
    <w:rsid w:val="0063320C"/>
    <w:rsid w:val="006543B0"/>
    <w:rsid w:val="00667B41"/>
    <w:rsid w:val="006F045E"/>
    <w:rsid w:val="0074079B"/>
    <w:rsid w:val="007714CA"/>
    <w:rsid w:val="007A04EC"/>
    <w:rsid w:val="007F582F"/>
    <w:rsid w:val="00843394"/>
    <w:rsid w:val="009065B4"/>
    <w:rsid w:val="009F181F"/>
    <w:rsid w:val="00A054E9"/>
    <w:rsid w:val="00A32F22"/>
    <w:rsid w:val="00AC366A"/>
    <w:rsid w:val="00B9647C"/>
    <w:rsid w:val="00C34A20"/>
    <w:rsid w:val="00C4266D"/>
    <w:rsid w:val="00C646B6"/>
    <w:rsid w:val="00D347EB"/>
    <w:rsid w:val="00DA3098"/>
    <w:rsid w:val="00DF79A0"/>
    <w:rsid w:val="00E80C04"/>
    <w:rsid w:val="00E956A2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279"/>
  <w15:docId w15:val="{FB7536F7-8CF4-4F13-A244-26E4F256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8">
    <w:name w:val="Emphasis"/>
    <w:basedOn w:val="a0"/>
    <w:uiPriority w:val="20"/>
    <w:qFormat/>
    <w:rsid w:val="004B0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26</cp:revision>
  <cp:lastPrinted>2021-09-10T13:19:00Z</cp:lastPrinted>
  <dcterms:created xsi:type="dcterms:W3CDTF">2021-02-14T12:07:00Z</dcterms:created>
  <dcterms:modified xsi:type="dcterms:W3CDTF">2023-09-13T14:03:00Z</dcterms:modified>
</cp:coreProperties>
</file>