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«РАДИОТЕХНИЧЕСКИЕ ЦЕПИ И СИГНАЛЫ»</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«Радиотехнические системы локации, навигации и телевидения»</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Модуль 1</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1.1.</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Введение</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 xml:space="preserve">Понятие радиотехники. </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Основная задача и области ее применения.</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1.2</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Детерминированные сигналы и их основные характеристики.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колебания и сигнала. Классификация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Разложение колебания по системе ортогональных функций.</w:t>
      </w:r>
    </w:p>
    <w:p>
      <w:pPr>
        <w:pStyle w:val="Style25"/>
        <w:numPr>
          <w:ilvl w:val="0"/>
          <w:numId w:val="3"/>
        </w:numPr>
        <w:tabs>
          <w:tab w:val="clear" w:pos="142"/>
          <w:tab w:val="left" w:pos="990" w:leader="none"/>
          <w:tab w:val="center" w:pos="5669" w:leader="none"/>
        </w:tabs>
        <w:spacing w:lineRule="auto" w:line="240"/>
        <w:jc w:val="both"/>
        <w:rPr>
          <w:rFonts w:ascii="Times New Roman" w:hAnsi="Times New Roman"/>
          <w:sz w:val="24"/>
          <w:szCs w:val="24"/>
        </w:rPr>
      </w:pPr>
      <w:r>
        <w:rPr>
          <w:rFonts w:ascii="Times New Roman" w:hAnsi="Times New Roman"/>
          <w:sz w:val="24"/>
          <w:szCs w:val="24"/>
        </w:rPr>
        <w:t xml:space="preserve">Гармонический анализ периодического колебания (разложение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периодического колебания в ряд Фурье по тригонометрическим функциям).</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Представление периодического колебания рядом Фурье в комплексной форме.</w:t>
      </w:r>
    </w:p>
    <w:p>
      <w:pPr>
        <w:pStyle w:val="Style25"/>
        <w:numPr>
          <w:ilvl w:val="0"/>
          <w:numId w:val="3"/>
        </w:numPr>
        <w:spacing w:lineRule="auto" w:line="240"/>
        <w:rPr>
          <w:rFonts w:ascii="Times New Roman" w:hAnsi="Times New Roman"/>
          <w:sz w:val="24"/>
          <w:szCs w:val="24"/>
        </w:rPr>
      </w:pPr>
      <w:r>
        <w:rPr>
          <w:rFonts w:ascii="Times New Roman" w:hAnsi="Times New Roman"/>
          <w:sz w:val="24"/>
          <w:szCs w:val="24"/>
        </w:rPr>
        <w:t xml:space="preserve">Спектральный анализ импульсного колебания. Прямое и обратное </w:t>
      </w:r>
    </w:p>
    <w:p>
      <w:pPr>
        <w:pStyle w:val="Style25"/>
        <w:spacing w:lineRule="auto" w:line="240"/>
        <w:ind w:left="720" w:hanging="0"/>
        <w:rPr>
          <w:rFonts w:ascii="Times New Roman" w:hAnsi="Times New Roman"/>
          <w:sz w:val="24"/>
          <w:szCs w:val="24"/>
        </w:rPr>
      </w:pPr>
      <w:r>
        <w:rPr>
          <w:rFonts w:ascii="Times New Roman" w:hAnsi="Times New Roman"/>
          <w:sz w:val="24"/>
          <w:szCs w:val="24"/>
        </w:rPr>
        <w:t>преобразование Фурье.</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Свойства преобразования Фурье.</w:t>
      </w:r>
    </w:p>
    <w:p>
      <w:pPr>
        <w:pStyle w:val="Style25"/>
        <w:numPr>
          <w:ilvl w:val="0"/>
          <w:numId w:val="3"/>
        </w:numPr>
        <w:tabs>
          <w:tab w:val="clear" w:pos="142"/>
          <w:tab w:val="left" w:pos="1050" w:leader="none"/>
          <w:tab w:val="center" w:pos="5656" w:leader="none"/>
        </w:tabs>
        <w:spacing w:lineRule="auto" w:line="240"/>
        <w:rPr>
          <w:rFonts w:ascii="Times New Roman" w:hAnsi="Times New Roman"/>
          <w:sz w:val="24"/>
          <w:szCs w:val="24"/>
        </w:rPr>
      </w:pPr>
      <w:r>
        <w:rPr>
          <w:rFonts w:ascii="Times New Roman" w:hAnsi="Times New Roman"/>
          <w:sz w:val="24"/>
          <w:szCs w:val="24"/>
        </w:rPr>
        <w:t>Распределение энергии в спектре импульсного колебания.</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Соотношение между длительностью импульса и шириной его спектра.</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 xml:space="preserve">Примеры вычисления спектральной характеристики некоторых импульсных сигналов. </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Корреляционный анализ импульсного колебания.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Связь АКФ импульса с его спектральной характеристикой.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Понятие взаимной корреляционной функции импульсного колебания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(ВКФ).</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дискретного сигнала. Математическое описание. Спектральные представления.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Связь спектральных характеристик дискретного и аналогового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Восстановление аналогового сигнала по его дискретным отсчетам. Теория Котельникова. </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как колебание с медленно меняющимися огибающей и</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фазой.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амплитудной модуляцией (АМ). Гармоническая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несколькими гармоническими колебаниями.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импульсным колебанием.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Спектр радиосигнала с гармонической угловой модуляцией.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Применение преобразование Гильберта для однозначного определения</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огибающей, частоты и фазы радиосигнала.</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Комплексное представление радиосигнала. Аналитический сигнал и его свойства.</w:t>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t>Раздел 1.3</w:t>
      </w:r>
    </w:p>
    <w:p>
      <w:pPr>
        <w:pStyle w:val="Normal"/>
        <w:widowControl/>
        <w:spacing w:lineRule="auto" w:line="240"/>
        <w:jc w:val="center"/>
        <w:rPr>
          <w:rFonts w:ascii="Times New Roman" w:hAnsi="Times New Roman"/>
          <w:sz w:val="24"/>
          <w:szCs w:val="24"/>
        </w:rPr>
      </w:pPr>
      <w:r>
        <w:rPr>
          <w:rFonts w:ascii="Times New Roman" w:hAnsi="Times New Roman"/>
          <w:sz w:val="24"/>
          <w:szCs w:val="24"/>
          <w:u w:val="single"/>
        </w:rPr>
        <w:t>Прохождение детерминированного сигнала через линейную радиотехническую цепь (РТЦ)</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Понятие линейной РТЦ. Основные параметры и характеристики.</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Основные методы анализа прохождения детерминированного сигнала через линейную цепь.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Условия неискаженного прохождения детерминированного сигнала</w:t>
      </w:r>
    </w:p>
    <w:p>
      <w:pPr>
        <w:pStyle w:val="Style25"/>
        <w:spacing w:lineRule="auto" w:line="240"/>
        <w:ind w:left="1080" w:hanging="0"/>
        <w:rPr>
          <w:rFonts w:ascii="Times New Roman" w:hAnsi="Times New Roman"/>
          <w:sz w:val="24"/>
          <w:szCs w:val="24"/>
        </w:rPr>
      </w:pPr>
      <w:r>
        <w:rPr>
          <w:rFonts w:ascii="Times New Roman" w:hAnsi="Times New Roman"/>
          <w:sz w:val="24"/>
          <w:szCs w:val="24"/>
        </w:rPr>
        <w:t>через линейную РТЦ.</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Понятие усиления колебания. Схемы замещения линейного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силиителя.</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апериодический усилитель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видеоимпульса через апериодический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резонансный усилитель (РУ)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Прохождение радиосигнала с гармонической АМ через линейный </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радиоимпульса через линейный 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усилитель с обратной связью (ОС). Влияние ОС на основные характеристики усилителя.</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Style25"/>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t>Раздел 1.4</w:t>
      </w:r>
    </w:p>
    <w:p>
      <w:pPr>
        <w:pStyle w:val="Normal"/>
        <w:spacing w:lineRule="auto" w:line="240"/>
        <w:jc w:val="center"/>
        <w:rPr>
          <w:rFonts w:ascii="Times New Roman" w:hAnsi="Times New Roman"/>
          <w:sz w:val="24"/>
          <w:szCs w:val="24"/>
          <w:u w:val="single"/>
        </w:rPr>
      </w:pPr>
      <w:r>
        <w:rPr>
          <w:rFonts w:ascii="Times New Roman" w:hAnsi="Times New Roman"/>
          <w:sz w:val="24"/>
          <w:szCs w:val="24"/>
          <w:u w:val="single"/>
        </w:rPr>
        <w:t>Нелинейные РТЦ. Методы анализа. Применение.</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Понятие нелинейной РТЦ. Нелинейные элементы и методы аппроксимации их характеристик.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(Аппроксимация ВАХ степенным полиномом).</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(кусочно-линейная аппроксимация).</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Нелинейное резонансное усиление колебаний.</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умножения частоты колебаний </w:t>
      </w:r>
    </w:p>
    <w:p>
      <w:pPr>
        <w:pStyle w:val="Style25"/>
        <w:spacing w:lineRule="auto" w:line="240"/>
        <w:ind w:left="1080" w:hanging="0"/>
        <w:rPr>
          <w:rFonts w:ascii="Times New Roman" w:hAnsi="Times New Roman"/>
          <w:sz w:val="24"/>
          <w:szCs w:val="24"/>
        </w:rPr>
      </w:pPr>
      <w:r>
        <w:rPr>
          <w:rFonts w:ascii="Times New Roman" w:hAnsi="Times New Roman"/>
          <w:sz w:val="24"/>
          <w:szCs w:val="24"/>
        </w:rPr>
        <w:t>(умножитель частоты).</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получения АМК (амплитудный </w:t>
      </w:r>
    </w:p>
    <w:p>
      <w:pPr>
        <w:pStyle w:val="Style25"/>
        <w:spacing w:lineRule="auto" w:line="240"/>
        <w:ind w:left="1080" w:hanging="0"/>
        <w:rPr>
          <w:rFonts w:ascii="Times New Roman" w:hAnsi="Times New Roman"/>
          <w:sz w:val="24"/>
          <w:szCs w:val="24"/>
        </w:rPr>
      </w:pPr>
      <w:r>
        <w:rPr>
          <w:rFonts w:ascii="Times New Roman" w:hAnsi="Times New Roman"/>
          <w:sz w:val="24"/>
          <w:szCs w:val="24"/>
        </w:rPr>
        <w:t xml:space="preserve">модулятор смещения). </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АМК.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ФМК (фазовый детектор).</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ЧМК.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преобразования частоты сигнал.</w:t>
      </w:r>
    </w:p>
    <w:p>
      <w:pPr>
        <w:pStyle w:val="Normal"/>
        <w:tabs>
          <w:tab w:val="clear" w:pos="142"/>
          <w:tab w:val="left" w:pos="1138" w:leader="none"/>
        </w:tabs>
        <w:spacing w:lineRule="auto" w:line="240"/>
        <w:rPr>
          <w:b/>
          <w:b/>
        </w:rPr>
      </w:pPr>
      <w:r>
        <w:rPr>
          <w:b/>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Модуль 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Раздел 2.1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Генерирование гармонических сигналов</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Понятие автогенерации. Структурная схема автогенератора гармонических колебаний с внешней обратной связью.</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Основные электрические схемы </w:t>
      </w:r>
      <w:r>
        <w:rPr>
          <w:rFonts w:ascii="Times New Roman" w:hAnsi="Times New Roman"/>
          <w:sz w:val="24"/>
          <w:szCs w:val="24"/>
          <w:lang w:val="en-US"/>
        </w:rPr>
        <w:t>LC</w:t>
      </w:r>
      <w:r>
        <w:rPr>
          <w:rFonts w:ascii="Times New Roman" w:hAnsi="Times New Roman"/>
          <w:sz w:val="24"/>
          <w:szCs w:val="24"/>
        </w:rPr>
        <w:t>-АГ гармонических колебаний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Условия возбуждения колебаний в </w:t>
      </w:r>
      <w:r>
        <w:rPr>
          <w:rFonts w:ascii="Times New Roman" w:hAnsi="Times New Roman"/>
          <w:sz w:val="24"/>
          <w:szCs w:val="24"/>
          <w:lang w:val="en-US"/>
        </w:rPr>
        <w:t>LC</w:t>
      </w:r>
      <w:r>
        <w:rPr>
          <w:rFonts w:ascii="Times New Roman" w:hAnsi="Times New Roman"/>
          <w:sz w:val="24"/>
          <w:szCs w:val="24"/>
        </w:rPr>
        <w:t>-АГ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Переход к стационарному режиму работы </w:t>
      </w:r>
      <w:r>
        <w:rPr>
          <w:rFonts w:ascii="Times New Roman" w:hAnsi="Times New Roman"/>
          <w:sz w:val="24"/>
          <w:szCs w:val="24"/>
          <w:lang w:val="en-US"/>
        </w:rPr>
        <w:t>LC</w:t>
      </w:r>
      <w:r>
        <w:rPr>
          <w:rFonts w:ascii="Times New Roman" w:hAnsi="Times New Roman"/>
          <w:sz w:val="24"/>
          <w:szCs w:val="24"/>
        </w:rPr>
        <w:t>-АГ с внешней ОС. Нахождение амплитуды и частоты колебаний в стационарном режиме.</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Мягкий и жесткий режимы работы 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RC</w:t>
      </w:r>
      <w:r>
        <w:rPr>
          <w:rFonts w:ascii="Times New Roman" w:hAnsi="Times New Roman"/>
          <w:sz w:val="24"/>
          <w:szCs w:val="24"/>
        </w:rPr>
        <w:t>-АГ гармонических колебаний.</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LC</w:t>
      </w:r>
      <w:r>
        <w:rPr>
          <w:rFonts w:ascii="Times New Roman" w:hAnsi="Times New Roman"/>
          <w:sz w:val="24"/>
          <w:szCs w:val="24"/>
        </w:rPr>
        <w:t>-АГ с внутренней ОС (</w:t>
      </w:r>
      <w:r>
        <w:rPr>
          <w:rFonts w:ascii="Times New Roman" w:hAnsi="Times New Roman"/>
          <w:sz w:val="24"/>
          <w:szCs w:val="24"/>
          <w:lang w:val="en-US"/>
        </w:rPr>
        <w:t>LC</w:t>
      </w:r>
      <w:r>
        <w:rPr>
          <w:rFonts w:ascii="Times New Roman" w:hAnsi="Times New Roman"/>
          <w:sz w:val="24"/>
          <w:szCs w:val="24"/>
        </w:rPr>
        <w:t>-АГ на туннельном диоде или любом двухполюснике с отрицательным дифференциальном сопротивлении).</w:t>
      </w:r>
    </w:p>
    <w:p>
      <w:pPr>
        <w:pStyle w:val="Normal"/>
        <w:widowControl/>
        <w:spacing w:lineRule="auto" w:line="240"/>
        <w:ind w:left="1080" w:hanging="0"/>
        <w:jc w:val="center"/>
        <w:rPr>
          <w:u w:val="single"/>
        </w:rPr>
      </w:pPr>
      <w:r>
        <w:rPr>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 xml:space="preserve">Раздел 2.2 </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Случайные сигналы</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случайного сигнала (СС) и применение для его описания законов распределения и неслучайных числовых характеристик закона распределения.</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Стационарность и эргодичность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автокорреляционной функции (АКФ) случайного сигнала.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Свойства АКФ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Энергетический спектр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Соотношение между шириной энергетического спектра и интервалом корреляции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Нахождение (вычисление) энергетического спектра эргодического СС по амплитудному спектру его реализации.</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Классификация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Гауссовский (нормальный)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Модель СС в виде «белого шума».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Узкополосный СС. Закон распределения его огибающей и фазы.</w:t>
      </w:r>
    </w:p>
    <w:p>
      <w:pPr>
        <w:pStyle w:val="Normal"/>
        <w:widowControl/>
        <w:spacing w:lineRule="auto" w:line="240"/>
        <w:ind w:left="108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2.3</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Линейная фильтрация СС (прохождение СС через линейную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Постановка задачи прохождения СС через линейную РТЦ. Закон распределения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Математическое ожидание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Энергетический спектр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АКФ и дисперсия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Понятие оптимальной линейной фильтрации. Частотные характеристики оптимального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Импульсная характеристика оптимального (согласованного)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Сигнал и шум на выходе оптимального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Выигрыш в отношении сигнал-шум при оптимальной линейной фильтрации.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видеоимпульсом (ФСОВИ).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радиоимпульсом (ФСОРИ).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ФКМ-импульсом</w:t>
      </w:r>
    </w:p>
    <w:p>
      <w:pPr>
        <w:pStyle w:val="Normal"/>
        <w:widowControl/>
        <w:spacing w:lineRule="auto" w:line="240"/>
        <w:ind w:left="1080" w:hanging="0"/>
        <w:jc w:val="center"/>
        <w:rPr>
          <w:rFonts w:ascii="Times New Roman" w:hAnsi="Times New Roman"/>
          <w:sz w:val="24"/>
          <w:szCs w:val="24"/>
          <w:u w:val="single"/>
        </w:rPr>
      </w:pPr>
      <w:r>
        <w:rPr>
          <w:rFonts w:ascii="Times New Roman" w:hAnsi="Times New Roman"/>
          <w:sz w:val="24"/>
          <w:szCs w:val="24"/>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2.4</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Прохождение случайного сигнала через нелинейную РТЦ</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Постановка задачи.</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Преобразование одномерного закона распределения случайного сигнала нелинейным безинерционным элементом.</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Прохождение узкополосного нормального шума через амплитудный детектор.</w:t>
      </w:r>
    </w:p>
    <w:p>
      <w:pPr>
        <w:pStyle w:val="Style25"/>
        <w:numPr>
          <w:ilvl w:val="0"/>
          <w:numId w:val="1"/>
        </w:numPr>
        <w:spacing w:lineRule="auto" w:line="240"/>
        <w:rPr>
          <w:rFonts w:ascii="Times New Roman" w:hAnsi="Times New Roman"/>
          <w:sz w:val="24"/>
          <w:szCs w:val="24"/>
        </w:rPr>
      </w:pPr>
      <w:r>
        <w:rPr>
          <w:rFonts w:cs="Times New Roman" w:ascii="Times New Roman" w:hAnsi="Times New Roman"/>
          <w:b w:val="false"/>
          <w:bCs w:val="false"/>
          <w:sz w:val="24"/>
          <w:szCs w:val="24"/>
        </w:rPr>
        <w:t>Отношение сигнал-шум на выходе амплитудного детектора.</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Радиотехнические цепи и сигналы: Методические указания к лабораторным работам. Ч 1/ РГРТУ; сост.: В.В. Авдеев, А.Ю. Линович, С.Л. Соколов, Б.И. Филимонов; под редакцией Б.И. Филимонова — Рязань, 2017. </w:t>
      </w:r>
      <w:hyperlink r:id="rId2">
        <w:r>
          <w:rPr>
            <w:rFonts w:cs="Times New Roman" w:ascii="Times New Roman" w:hAnsi="Times New Roman"/>
            <w:sz w:val="24"/>
            <w:szCs w:val="24"/>
          </w:rPr>
          <w:t>https://elib.rsreu.ru/ebs/download/678</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Радиотехнические цепи и сигналы: Методические указания к лабораторным работам. Ч 2/ РГРТУ; сост.: В.В. Авдеев, А.Ю. Линович, С.Л. Соколов, Б.И. Филимонов.; под редакцией Б.И. Филимонова— Рязань, 2017. </w:t>
      </w:r>
      <w:hyperlink r:id="rId3">
        <w:r>
          <w:rPr>
            <w:rFonts w:cs="Times New Roman" w:ascii="Times New Roman" w:hAnsi="Times New Roman"/>
            <w:sz w:val="24"/>
            <w:szCs w:val="24"/>
          </w:rPr>
          <w:t>https://elib.rsreu.ru/ebs/download/2057</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Радиотехнические цепи и сигналы: Методические указания к курсовой работе, Рязан. гос. радиотехническая акад.; Под ред. Филимонова Б. И. Рязань. 2010 (инв. № 4358). </w:t>
      </w:r>
      <w:hyperlink r:id="rId4">
        <w:r>
          <w:rPr>
            <w:rFonts w:cs="Times New Roman" w:ascii="Times New Roman" w:hAnsi="Times New Roman"/>
            <w:sz w:val="24"/>
            <w:szCs w:val="24"/>
          </w:rPr>
          <w:t>https://elib.rsreu.ru/ebs/download/1005</w:t>
        </w:r>
      </w:hyperlink>
      <w:r>
        <w:rPr>
          <w:rFonts w:cs="Times New Roman" w:ascii="Times New Roman" w:hAnsi="Times New Roman"/>
          <w:sz w:val="24"/>
          <w:szCs w:val="24"/>
        </w:rPr>
        <w:t xml:space="preserve">   </w:t>
      </w:r>
    </w:p>
    <w:sectPr>
      <w:footerReference w:type="default" r:id="rId5"/>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152827"/>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108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144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0"/>
        </w:tabs>
        <w:ind w:left="107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0"/>
        </w:tabs>
        <w:ind w:left="148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0"/>
        </w:tabs>
        <w:ind w:left="11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firstLine="76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678" TargetMode="External"/><Relationship Id="rId3" Type="http://schemas.openxmlformats.org/officeDocument/2006/relationships/hyperlink" Target="https://elib.rsreu.ru/ebs/download/2057" TargetMode="External"/><Relationship Id="rId4" Type="http://schemas.openxmlformats.org/officeDocument/2006/relationships/hyperlink" Target="https://elib.rsreu.ru/ebs/download/1005"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B5898-0DBD-4098-A41D-A19B496E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16</Pages>
  <Words>4622</Words>
  <Characters>32830</Characters>
  <CharactersWithSpaces>37332</CharactersWithSpaces>
  <Paragraphs>259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2021-11-02T13:21:00Z</dcterms:created>
  <dc:creator>Лидия</dc:creator>
  <dc:description/>
  <dc:language>ru-RU</dc:language>
  <cp:lastModifiedBy/>
  <dcterms:modified xsi:type="dcterms:W3CDTF">2021-11-18T17:46:15Z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