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ind w:firstLine="709"/>
        <w:jc w:val="right"/>
        <w:rPr>
          <w:rFonts w:ascii="Times New Roman" w:hAnsi="Times New Roman" w:eastAsia="Times New Roman" w:cs="Times New Roman"/>
          <w:caps/>
          <w:sz w:val="28"/>
        </w:rPr>
      </w:pPr>
      <w:r>
        <w:rPr>
          <w:rFonts w:eastAsia="Times New Roman" w:cs="Times New Roman" w:ascii="Times New Roman" w:hAnsi="Times New Roman"/>
          <w:caps/>
          <w:sz w:val="28"/>
        </w:rPr>
        <w:t xml:space="preserve">ПрИЛОЖЕНИЕ </w:t>
      </w:r>
    </w:p>
    <w:p>
      <w:pPr>
        <w:pStyle w:val="Normal"/>
        <w:suppressAutoHyphens w:val="true"/>
        <w:spacing w:lineRule="auto" w:line="240" w:before="0" w:after="0"/>
        <w:jc w:val="center"/>
        <w:rPr>
          <w:rFonts w:ascii="Times New Roman" w:hAnsi="Times New Roman" w:eastAsia="Times New Roman" w:cs="Times New Roman"/>
          <w:caps/>
          <w:sz w:val="28"/>
        </w:rPr>
      </w:pPr>
      <w:r>
        <w:rPr>
          <w:rFonts w:eastAsia="Times New Roman" w:cs="Times New Roman" w:ascii="Times New Roman" w:hAnsi="Times New Roman"/>
          <w:caps/>
          <w:sz w:val="28"/>
        </w:rPr>
      </w:r>
    </w:p>
    <w:p>
      <w:pPr>
        <w:pStyle w:val="Normal"/>
        <w:suppressAutoHyphens w:val="true"/>
        <w:spacing w:lineRule="auto" w:line="240" w:before="0" w:after="0"/>
        <w:jc w:val="center"/>
        <w:rPr>
          <w:rFonts w:ascii="Times New Roman" w:hAnsi="Times New Roman" w:eastAsia="Times New Roman" w:cs="Times New Roman"/>
          <w:caps/>
          <w:sz w:val="28"/>
        </w:rPr>
      </w:pPr>
      <w:r>
        <w:rPr>
          <w:rFonts w:eastAsia="Times New Roman" w:cs="Times New Roman" w:ascii="Times New Roman" w:hAnsi="Times New Roman"/>
          <w:caps/>
          <w:sz w:val="28"/>
        </w:rPr>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МИНИСТЕРСТВО  НАУКИ И ВЫСШЕГО ОБРАЗОВАНИЯ</w:t>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РОССИЙСКОЙ ФЕДЕРАЦИИ</w:t>
      </w:r>
    </w:p>
    <w:p>
      <w:pPr>
        <w:pStyle w:val="Normal"/>
        <w:suppressAutoHyphens w:val="true"/>
        <w:spacing w:lineRule="auto" w:line="264" w:before="0" w:after="0"/>
        <w:jc w:val="center"/>
        <w:rPr>
          <w:rFonts w:ascii="Times New Roman" w:hAnsi="Times New Roman" w:eastAsia="Times New Roman" w:cs="Times New Roman"/>
          <w:sz w:val="28"/>
        </w:rPr>
      </w:pPr>
      <w:r>
        <w:rPr>
          <w:rFonts w:eastAsia="Times New Roman" w:cs="Times New Roman" w:ascii="Times New Roman" w:hAnsi="Times New Roman"/>
          <w:sz w:val="28"/>
        </w:rPr>
        <w:t xml:space="preserve">Федеральное государственное бюджетное образовательное </w:t>
      </w:r>
    </w:p>
    <w:p>
      <w:pPr>
        <w:pStyle w:val="Normal"/>
        <w:suppressAutoHyphens w:val="true"/>
        <w:spacing w:lineRule="auto" w:line="264" w:before="0" w:after="0"/>
        <w:jc w:val="center"/>
        <w:rPr>
          <w:rFonts w:ascii="Times New Roman" w:hAnsi="Times New Roman" w:eastAsia="Times New Roman" w:cs="Times New Roman"/>
          <w:b/>
          <w:b/>
          <w:sz w:val="28"/>
        </w:rPr>
      </w:pPr>
      <w:r>
        <w:rPr>
          <w:rFonts w:eastAsia="Times New Roman" w:cs="Times New Roman" w:ascii="Times New Roman" w:hAnsi="Times New Roman"/>
          <w:sz w:val="28"/>
        </w:rPr>
        <w:t>учреждение высшего образования</w:t>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 xml:space="preserve">«РЯЗАНСКИЙ ГОСУДАРСТВЕННЫЙ РАДИОТЕХНИЧЕСКИЙ УНИВЕРСИТЕТ </w:t>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ИМЕНИ В.Ф. УТКИНА»</w:t>
      </w:r>
    </w:p>
    <w:p>
      <w:pPr>
        <w:pStyle w:val="Normal"/>
        <w:keepNext w:val="true"/>
        <w:suppressAutoHyphens w:val="true"/>
        <w:spacing w:lineRule="auto" w:line="240" w:before="0" w:after="0"/>
        <w:jc w:val="center"/>
        <w:rPr>
          <w:rFonts w:ascii="Times New Roman" w:hAnsi="Times New Roman" w:eastAsia="Times New Roman" w:cs="Times New Roman"/>
          <w:color w:val="000000"/>
          <w:sz w:val="24"/>
          <w:shd w:fill="FFFFFF" w:val="clear"/>
        </w:rPr>
      </w:pPr>
      <w:r>
        <w:rPr>
          <w:rFonts w:eastAsia="Times New Roman" w:cs="Times New Roman" w:ascii="Times New Roman" w:hAnsi="Times New Roman"/>
          <w:color w:val="000000"/>
          <w:sz w:val="24"/>
          <w:shd w:fill="FFFFFF" w:val="clear"/>
        </w:rPr>
      </w:r>
    </w:p>
    <w:p>
      <w:pPr>
        <w:pStyle w:val="Normal"/>
        <w:keepNext w:val="true"/>
        <w:suppressAutoHyphens w:val="true"/>
        <w:spacing w:lineRule="auto" w:line="240" w:before="0" w:after="0"/>
        <w:jc w:val="center"/>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Кафедра «Безопасность жизнедеятельности и экологии»</w:t>
      </w:r>
    </w:p>
    <w:p>
      <w:pPr>
        <w:pStyle w:val="Normal"/>
        <w:keepNext w:val="true"/>
        <w:suppressAutoHyphens w:val="true"/>
        <w:spacing w:lineRule="auto" w:line="240" w:before="0" w:after="0"/>
        <w:jc w:val="center"/>
        <w:rPr>
          <w:rFonts w:ascii="Times New Roman" w:hAnsi="Times New Roman" w:eastAsia="Times New Roman" w:cs="Times New Roman"/>
          <w:color w:val="FF0000"/>
          <w:sz w:val="24"/>
          <w:shd w:fill="FFFFFF" w:val="clear"/>
        </w:rPr>
      </w:pPr>
      <w:r>
        <w:rPr>
          <w:rFonts w:eastAsia="Times New Roman" w:cs="Times New Roman" w:ascii="Times New Roman" w:hAnsi="Times New Roman"/>
          <w:color w:val="FF0000"/>
          <w:sz w:val="24"/>
          <w:shd w:fill="FFFFFF" w:val="clear"/>
        </w:rPr>
      </w:r>
    </w:p>
    <w:p>
      <w:pPr>
        <w:pStyle w:val="Normal"/>
        <w:keepNext w:val="true"/>
        <w:suppressAutoHyphens w:val="true"/>
        <w:spacing w:lineRule="auto" w:line="240" w:before="0" w:after="0"/>
        <w:jc w:val="center"/>
        <w:rPr>
          <w:rFonts w:ascii="Times New Roman" w:hAnsi="Times New Roman" w:eastAsia="Times New Roman" w:cs="Times New Roman"/>
          <w:color w:val="FF0000"/>
          <w:sz w:val="24"/>
          <w:shd w:fill="FFFFFF" w:val="clear"/>
        </w:rPr>
      </w:pPr>
      <w:r>
        <w:rPr>
          <w:rFonts w:eastAsia="Times New Roman" w:cs="Times New Roman" w:ascii="Times New Roman" w:hAnsi="Times New Roman"/>
          <w:color w:val="FF0000"/>
          <w:sz w:val="24"/>
          <w:shd w:fill="FFFFFF" w:val="clear"/>
        </w:rPr>
      </w:r>
    </w:p>
    <w:p>
      <w:pPr>
        <w:pStyle w:val="Normal"/>
        <w:keepNext w:val="true"/>
        <w:suppressAutoHyphens w:val="true"/>
        <w:spacing w:lineRule="auto" w:line="240" w:before="0" w:after="0"/>
        <w:jc w:val="center"/>
        <w:rPr>
          <w:rFonts w:ascii="Times New Roman" w:hAnsi="Times New Roman" w:eastAsia="Times New Roman" w:cs="Times New Roman"/>
          <w:color w:val="FF0000"/>
          <w:sz w:val="24"/>
          <w:shd w:fill="FFFFFF" w:val="clear"/>
        </w:rPr>
      </w:pPr>
      <w:r>
        <w:rPr>
          <w:rFonts w:eastAsia="Times New Roman" w:cs="Times New Roman" w:ascii="Times New Roman" w:hAnsi="Times New Roman"/>
          <w:color w:val="FF0000"/>
          <w:sz w:val="24"/>
          <w:shd w:fill="FFFFFF" w:val="clear"/>
        </w:rPr>
      </w:r>
    </w:p>
    <w:p>
      <w:pPr>
        <w:pStyle w:val="Normal"/>
        <w:keepNext w:val="true"/>
        <w:spacing w:lineRule="auto" w:line="240" w:before="0" w:after="0"/>
        <w:jc w:val="center"/>
        <w:rPr>
          <w:rFonts w:ascii="Times New Roman" w:hAnsi="Times New Roman" w:eastAsia="Times New Roman" w:cs="Times New Roman"/>
          <w:color w:val="000000"/>
          <w:sz w:val="24"/>
          <w:shd w:fill="FFFFFF" w:val="clear"/>
        </w:rPr>
      </w:pPr>
      <w:r>
        <w:rPr>
          <w:rFonts w:eastAsia="Times New Roman" w:cs="Times New Roman" w:ascii="Times New Roman" w:hAnsi="Times New Roman"/>
          <w:color w:val="000000"/>
          <w:sz w:val="24"/>
          <w:shd w:fill="FFFFFF" w:val="clear"/>
        </w:rPr>
      </w:r>
    </w:p>
    <w:p>
      <w:pPr>
        <w:pStyle w:val="Normal"/>
        <w:keepNext w:val="true"/>
        <w:spacing w:lineRule="auto" w:line="240" w:before="0" w:after="0"/>
        <w:jc w:val="center"/>
        <w:rPr>
          <w:rFonts w:ascii="Times New Roman" w:hAnsi="Times New Roman" w:eastAsia="Times New Roman" w:cs="Times New Roman"/>
          <w:b/>
          <w:b/>
          <w:color w:val="000000"/>
          <w:sz w:val="28"/>
          <w:shd w:fill="FFFFFF" w:val="clear"/>
        </w:rPr>
      </w:pPr>
      <w:r>
        <w:rPr>
          <w:rFonts w:eastAsia="Times New Roman" w:cs="Times New Roman" w:ascii="Times New Roman" w:hAnsi="Times New Roman"/>
          <w:b/>
          <w:color w:val="000000"/>
          <w:sz w:val="28"/>
          <w:shd w:fill="FFFFFF" w:val="clear"/>
        </w:rPr>
        <w:t>МЕТОДИЧЕСКОЕ ОБЕСПЕЧЕНИЕ ДИСЦИПЛИНЫ</w:t>
      </w:r>
    </w:p>
    <w:p>
      <w:pPr>
        <w:pStyle w:val="Normal"/>
        <w:keepNext w:val="true"/>
        <w:spacing w:lineRule="auto" w:line="240" w:before="0" w:after="0"/>
        <w:jc w:val="center"/>
        <w:rPr>
          <w:rFonts w:ascii="Times New Roman" w:hAnsi="Times New Roman" w:eastAsia="Times New Roman" w:cs="Times New Roman"/>
          <w:b/>
          <w:b/>
          <w:color w:val="000000"/>
          <w:sz w:val="27"/>
          <w:shd w:fill="FFFFFF" w:val="clear"/>
        </w:rPr>
      </w:pPr>
      <w:r>
        <w:rPr>
          <w:rFonts w:eastAsia="Times New Roman" w:cs="Times New Roman" w:ascii="Times New Roman" w:hAnsi="Times New Roman"/>
          <w:b/>
          <w:color w:val="000000"/>
          <w:sz w:val="27"/>
          <w:shd w:fill="FFFFFF" w:val="clear"/>
        </w:rPr>
      </w:r>
    </w:p>
    <w:p>
      <w:pPr>
        <w:pStyle w:val="Normal"/>
        <w:spacing w:lineRule="auto" w:line="240" w:before="0" w:after="0"/>
        <w:jc w:val="center"/>
        <w:rPr>
          <w:rFonts w:ascii="Times New Roman" w:hAnsi="Times New Roman" w:eastAsia="Times New Roman" w:cs="Times New Roman"/>
          <w:b/>
          <w:b/>
          <w:sz w:val="28"/>
          <w:shd w:fill="FFFFFF" w:val="clear"/>
        </w:rPr>
      </w:pPr>
      <w:r>
        <w:rPr>
          <w:rFonts w:eastAsia="Times New Roman" w:cs="Times New Roman" w:ascii="Times New Roman" w:hAnsi="Times New Roman"/>
          <w:b/>
          <w:sz w:val="28"/>
          <w:shd w:fill="FFFFFF" w:val="clear"/>
        </w:rPr>
        <w:t xml:space="preserve">Б1.В.16  «ЭЛЕКТРОБЕЗОПАСНОСТЬ В ЭЛЕКТРОЭНЕРГЕТИКЕ И </w:t>
      </w:r>
    </w:p>
    <w:p>
      <w:pPr>
        <w:pStyle w:val="Normal"/>
        <w:spacing w:lineRule="auto" w:line="240" w:before="0" w:after="0"/>
        <w:jc w:val="center"/>
        <w:rPr>
          <w:rFonts w:ascii="Times New Roman" w:hAnsi="Times New Roman" w:eastAsia="Times New Roman" w:cs="Times New Roman"/>
          <w:b/>
          <w:b/>
          <w:color w:val="000000"/>
          <w:sz w:val="28"/>
          <w:shd w:fill="FFFFFF" w:val="clear"/>
        </w:rPr>
      </w:pPr>
      <w:r>
        <w:rPr>
          <w:rFonts w:eastAsia="Times New Roman" w:cs="Times New Roman" w:ascii="Times New Roman" w:hAnsi="Times New Roman"/>
          <w:b/>
          <w:sz w:val="28"/>
          <w:shd w:fill="FFFFFF" w:val="clear"/>
        </w:rPr>
        <w:t>ЭЛЕКТРОТЕХНИКЕ»</w:t>
      </w:r>
    </w:p>
    <w:p>
      <w:pPr>
        <w:pStyle w:val="Normal"/>
        <w:keepNext w:val="true"/>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keepNext w:val="true"/>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64"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Направление подготовки</w:t>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13.03.02  Электроэнергетика и электротехника</w:t>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Профиль:</w:t>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Электроснабжение</w:t>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Квалификация выпускника – бакалавр</w:t>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Форма обучения – очная</w:t>
      </w:r>
    </w:p>
    <w:p>
      <w:pPr>
        <w:pStyle w:val="Normal"/>
        <w:tabs>
          <w:tab w:val="clear" w:pos="708"/>
          <w:tab w:val="left" w:pos="2694" w:leader="none"/>
        </w:tabs>
        <w:spacing w:lineRule="auto" w:line="240" w:before="0" w:after="0"/>
        <w:jc w:val="center"/>
        <w:rPr>
          <w:rFonts w:ascii="Times New Roman" w:hAnsi="Times New Roman" w:eastAsia="Times New Roman" w:cs="Times New Roman"/>
          <w:sz w:val="32"/>
        </w:rPr>
      </w:pPr>
      <w:r>
        <w:rPr>
          <w:rFonts w:eastAsia="Times New Roman" w:cs="Times New Roman" w:ascii="Times New Roman" w:hAnsi="Times New Roman"/>
          <w:sz w:val="32"/>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Рязань 202</w:t>
      </w:r>
      <w:r>
        <w:rPr>
          <w:rFonts w:eastAsia="Times New Roman" w:cs="Times New Roman" w:ascii="Times New Roman" w:hAnsi="Times New Roman"/>
          <w:sz w:val="28"/>
          <w:lang w:val="en-US"/>
        </w:rPr>
        <w:t>2</w:t>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numPr>
          <w:ilvl w:val="0"/>
          <w:numId w:val="0"/>
        </w:numPr>
        <w:spacing w:lineRule="auto" w:line="240" w:before="0" w:after="0"/>
        <w:ind w:left="1069" w:hanging="0"/>
        <w:jc w:val="center"/>
        <w:rPr>
          <w:rFonts w:ascii="Times New Roman" w:hAnsi="Times New Roman" w:eastAsia="Times New Roman" w:cs="Times New Roman"/>
          <w:b/>
          <w:b/>
        </w:rPr>
      </w:pPr>
      <w:r>
        <w:rPr>
          <w:rFonts w:eastAsia="Times New Roman" w:cs="Times New Roman" w:ascii="Times New Roman" w:hAnsi="Times New Roman"/>
          <w:b/>
        </w:rPr>
        <w:t xml:space="preserve">1. МЕТОДИЧЕСКИЕ УКАЗАНИЯ ДЛЯ ОБУЧАЮЩИХСЯ ПО ОСВОЕНИЮ ДИСЦИПЛИНЫ  </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sz w:val="24"/>
        </w:rPr>
      </w:pPr>
      <w:r>
        <w:rPr>
          <w:rFonts w:eastAsia="Times New Roman" w:cs="Times New Roman" w:ascii="Times New Roman" w:hAnsi="Times New Roman"/>
          <w:b/>
        </w:rPr>
        <w:t>Описание последовательности действий студента («сценарий изучения дисциплины»)</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Normal"/>
        <w:numPr>
          <w:ilvl w:val="0"/>
          <w:numId w:val="1"/>
        </w:numPr>
        <w:tabs>
          <w:tab w:val="clear" w:pos="708"/>
          <w:tab w:val="left" w:pos="422"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Normal"/>
        <w:numPr>
          <w:ilvl w:val="0"/>
          <w:numId w:val="1"/>
        </w:numPr>
        <w:tabs>
          <w:tab w:val="clear" w:pos="708"/>
          <w:tab w:val="left" w:pos="422"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 xml:space="preserve">при подготовке к следующей лекции, нужно просмотреть текст предыдущей лекции (45-50 минут), </w:t>
      </w:r>
    </w:p>
    <w:p>
      <w:pPr>
        <w:pStyle w:val="Normal"/>
        <w:numPr>
          <w:ilvl w:val="0"/>
          <w:numId w:val="1"/>
        </w:numPr>
        <w:tabs>
          <w:tab w:val="clear" w:pos="708"/>
          <w:tab w:val="left" w:pos="422"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подготовка к зачету: необходимо ориентироваться на конспекты лекций, рекомендуемую литературу и др.</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i/>
          <w:i/>
        </w:rPr>
      </w:pPr>
      <w:r>
        <w:rPr>
          <w:rFonts w:eastAsia="Times New Roman" w:cs="Times New Roman" w:ascii="Times New Roman" w:hAnsi="Times New Roman"/>
          <w:b/>
          <w:i/>
        </w:rPr>
        <w:t>Рекомендации по работе с литературой</w:t>
      </w:r>
      <w:r>
        <w:rPr>
          <w:rFonts w:eastAsia="Times New Roman" w:cs="Times New Roman" w:ascii="Times New Roman" w:hAnsi="Times New Roman"/>
          <w:i/>
        </w:rPr>
        <w:t xml:space="preserve"> </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i/>
          <w:i/>
        </w:rPr>
      </w:pPr>
      <w:r>
        <w:rPr>
          <w:rFonts w:eastAsia="Times New Roman" w:cs="Times New Roman" w:ascii="Times New Roman" w:hAnsi="Times New Roman"/>
          <w:b/>
          <w:i/>
        </w:rPr>
        <w:t>Работа студента на лекции</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i/>
          <w:i/>
        </w:rPr>
      </w:pPr>
      <w:r>
        <w:rPr>
          <w:rFonts w:eastAsia="Times New Roman" w:cs="Times New Roman" w:ascii="Times New Roman" w:hAnsi="Times New Roman"/>
          <w:b/>
          <w:i/>
        </w:rPr>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При написании конспекта лекций следует придерживаться следующих правил и рекомендаций:</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конспект лекций нужно записывать «своими словами» лишь после того, как излагаемый лектором тезис будет вами дослушан до конца и понят;</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рекомендуется в каждом пункте выразить свое мнение, комментарий, вывод.</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Конспект лекций каждый студент записывает лично для себя. Поэтому конспект надо писать так, чтобы им было удобно пользоваться.</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numPr>
          <w:ilvl w:val="0"/>
          <w:numId w:val="0"/>
        </w:numPr>
        <w:spacing w:lineRule="auto" w:line="240" w:before="0" w:after="0"/>
        <w:ind w:left="284" w:hanging="0"/>
        <w:jc w:val="center"/>
        <w:rPr>
          <w:rFonts w:ascii="Times New Roman" w:hAnsi="Times New Roman" w:eastAsia="Times New Roman" w:cs="Times New Roman"/>
          <w:b/>
          <w:b/>
        </w:rPr>
      </w:pPr>
      <w:r>
        <w:rPr>
          <w:rFonts w:eastAsia="Times New Roman" w:cs="Times New Roman" w:ascii="Times New Roman" w:hAnsi="Times New Roman"/>
          <w:b/>
        </w:rPr>
        <w:t>2. МЕТОДИЧЕСКИЕ УКАЗАНИЯ ПО ВЫПОЛНЕНИЮ ЛАБОРАТОРНЫХ РАБОТ</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Лабораторные работы являются практической частью курса ЭБвЭЭиЭТ и имеют назначение на практике подтвердить основные положения теории с целью закрепления изученного материала.</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Лабораторные работы выполняются с помощью лабораторных стендов бригадами по 2–4  человека. </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5773), подготовить таблицы для снятия измеряемых величин.  </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Выполненные работы защищаются и их положительная оценка является одним из необходимых условий для получения зачета.</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 отчете должны быть представлены: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название и цель выполняемой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необходимые схемы изучаемых устройств, сетей и т.п.;</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color w:val="000000"/>
        </w:rPr>
        <w:t xml:space="preserve">– </w:t>
      </w:r>
      <w:r>
        <w:rPr>
          <w:rFonts w:eastAsia="Times New Roman" w:cs="Times New Roman" w:ascii="Times New Roman" w:hAnsi="Times New Roman"/>
        </w:rPr>
        <w:t>необходимые для расчёта формулы;</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таблицы с экспериментальными и расчётными данными;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rPr>
        <w:t xml:space="preserve">– </w:t>
      </w:r>
      <w:r>
        <w:rPr>
          <w:rFonts w:eastAsia="Times New Roman" w:cs="Times New Roman" w:ascii="Times New Roman" w:hAnsi="Times New Roman"/>
        </w:rPr>
        <w:t>в</w:t>
      </w:r>
      <w:r>
        <w:rPr>
          <w:rFonts w:eastAsia="Times New Roman" w:cs="Times New Roman" w:ascii="Times New Roman" w:hAnsi="Times New Roman"/>
          <w:color w:val="000000"/>
        </w:rPr>
        <w:t>ыполненные в масштабе необходимые графики;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выводы, отражающие цель и результаты выполнения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ответы на контрольные вопросы.</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
        <w:spacing w:lineRule="auto" w:line="240" w:before="0" w:after="0"/>
        <w:ind w:firstLine="709"/>
        <w:jc w:val="both"/>
        <w:rPr>
          <w:rFonts w:ascii="Arial" w:hAnsi="Arial" w:eastAsia="Arial" w:cs="Arial"/>
          <w:color w:val="000000"/>
          <w:sz w:val="24"/>
        </w:rPr>
      </w:pPr>
      <w:r>
        <w:rPr>
          <w:rFonts w:eastAsia="Times New Roman" w:cs="Times New Roman" w:ascii="Times New Roman" w:hAnsi="Times New Roman"/>
          <w:color w:val="000000"/>
        </w:rPr>
        <w:t>Работа должна быть подписана и датирована студентом.</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Перечень выполняемых лабораторных работ</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tbl>
      <w:tblPr>
        <w:tblW w:w="9571" w:type="dxa"/>
        <w:jc w:val="center"/>
        <w:tblInd w:w="0" w:type="dxa"/>
        <w:tblLayout w:type="fixed"/>
        <w:tblCellMar>
          <w:top w:w="0" w:type="dxa"/>
          <w:left w:w="108" w:type="dxa"/>
          <w:bottom w:w="0" w:type="dxa"/>
          <w:right w:w="108" w:type="dxa"/>
        </w:tblCellMar>
        <w:tblLook w:val="0000"/>
      </w:tblPr>
      <w:tblGrid>
        <w:gridCol w:w="516"/>
        <w:gridCol w:w="1393"/>
        <w:gridCol w:w="6065"/>
        <w:gridCol w:w="1596"/>
      </w:tblGrid>
      <w:tr>
        <w:trPr>
          <w:trHeight w:val="1" w:hRule="atLeast"/>
        </w:trPr>
        <w:tc>
          <w:tcPr>
            <w:tcW w:w="51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4"/>
                <w:u w:val="single"/>
              </w:rPr>
            </w:pPr>
            <w:r>
              <w:rPr>
                <w:rFonts w:eastAsia="Times New Roman" w:cs="Times New Roman" w:ascii="Times New Roman" w:hAnsi="Times New Roman"/>
                <w:color w:val="000000"/>
                <w:u w:val="single"/>
              </w:rPr>
              <w:t>№</w:t>
            </w:r>
          </w:p>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п/п</w:t>
            </w:r>
          </w:p>
        </w:tc>
        <w:tc>
          <w:tcPr>
            <w:tcW w:w="1393"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 xml:space="preserve">№ </w:t>
            </w:r>
            <w:r>
              <w:rPr>
                <w:rFonts w:eastAsia="Times New Roman" w:cs="Times New Roman" w:ascii="Times New Roman" w:hAnsi="Times New Roman"/>
                <w:color w:val="000000"/>
                <w:u w:val="single"/>
              </w:rPr>
              <w:t>раздела дисциплины</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ind w:firstLine="709"/>
              <w:jc w:val="center"/>
              <w:rPr/>
            </w:pPr>
            <w:r>
              <w:rPr>
                <w:rFonts w:eastAsia="Times New Roman" w:cs="Times New Roman" w:ascii="Times New Roman" w:hAnsi="Times New Roman"/>
                <w:color w:val="000000"/>
                <w:u w:val="single"/>
              </w:rPr>
              <w:t>Наименование лабораторной работы</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Трудоёмкость, час</w:t>
            </w:r>
          </w:p>
        </w:tc>
      </w:tr>
      <w:tr>
        <w:trPr>
          <w:trHeight w:val="1" w:hRule="atLeast"/>
        </w:trPr>
        <w:tc>
          <w:tcPr>
            <w:tcW w:w="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1.</w:t>
            </w:r>
          </w:p>
        </w:tc>
        <w:tc>
          <w:tcPr>
            <w:tcW w:w="13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1</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sz w:val="24"/>
              </w:rPr>
              <w:t>Оценка опасности поражения человека в электрических сетях</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4</w:t>
            </w:r>
          </w:p>
        </w:tc>
      </w:tr>
      <w:tr>
        <w:trPr>
          <w:trHeight w:val="1" w:hRule="atLeast"/>
        </w:trPr>
        <w:tc>
          <w:tcPr>
            <w:tcW w:w="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c>
          <w:tcPr>
            <w:tcW w:w="13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rPr>
              <w:t>Первая помощь человеку, пораженному электрическим током</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3.</w:t>
            </w:r>
          </w:p>
        </w:tc>
        <w:tc>
          <w:tcPr>
            <w:tcW w:w="13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3</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color w:val="000000"/>
                <w:sz w:val="24"/>
              </w:rPr>
              <w:t>Исследование защитного заземления</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4.</w:t>
            </w:r>
          </w:p>
        </w:tc>
        <w:tc>
          <w:tcPr>
            <w:tcW w:w="13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3</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color w:val="000000"/>
                <w:sz w:val="24"/>
              </w:rPr>
              <w:t>Исследование защитного зануления</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5.</w:t>
            </w:r>
          </w:p>
        </w:tc>
        <w:tc>
          <w:tcPr>
            <w:tcW w:w="13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4</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color w:val="000000"/>
                <w:sz w:val="24"/>
              </w:rPr>
              <w:t>Действие устройств защитного отключения и защита от сверхтока</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6.</w:t>
            </w:r>
          </w:p>
        </w:tc>
        <w:tc>
          <w:tcPr>
            <w:tcW w:w="13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4</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color w:val="000000"/>
                <w:sz w:val="24"/>
              </w:rPr>
              <w:t>Двойная изоляция и электрическое разделение сетей</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7.</w:t>
            </w:r>
          </w:p>
        </w:tc>
        <w:tc>
          <w:tcPr>
            <w:tcW w:w="13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5</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color w:val="000000"/>
                <w:sz w:val="24"/>
              </w:rPr>
              <w:t>Пожарная безопасность электроустановок</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rFonts w:ascii="Calibri" w:hAnsi="Calibri" w:eastAsia="Calibri" w:cs="Calibri"/>
              </w:rPr>
            </w:pPr>
            <w:r>
              <w:rPr>
                <w:rFonts w:eastAsia="Calibri" w:cs="Calibri"/>
              </w:rPr>
            </w:r>
          </w:p>
        </w:tc>
        <w:tc>
          <w:tcPr>
            <w:tcW w:w="139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rFonts w:ascii="Calibri" w:hAnsi="Calibri" w:eastAsia="Calibri" w:cs="Calibri"/>
              </w:rPr>
            </w:pPr>
            <w:r>
              <w:rPr>
                <w:rFonts w:eastAsia="Calibri" w:cs="Calibri"/>
              </w:rPr>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rFonts w:ascii="Calibri" w:hAnsi="Calibri" w:eastAsia="Calibri" w:cs="Calibri"/>
              </w:rPr>
            </w:pPr>
            <w:r>
              <w:rPr>
                <w:rFonts w:eastAsia="Calibri" w:cs="Calibri"/>
              </w:rPr>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rFonts w:ascii="Calibri" w:hAnsi="Calibri" w:eastAsia="Calibri" w:cs="Calibri"/>
              </w:rPr>
            </w:pPr>
            <w:r>
              <w:rPr>
                <w:rFonts w:eastAsia="Calibri" w:cs="Calibri"/>
              </w:rPr>
            </w:r>
          </w:p>
        </w:tc>
      </w:tr>
    </w:tbl>
    <w:p>
      <w:pPr>
        <w:pStyle w:val="Normal"/>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Перечень учебно-методического обеспечения лабораторных работ</w:t>
      </w:r>
    </w:p>
    <w:p>
      <w:pPr>
        <w:pStyle w:val="Normal"/>
        <w:spacing w:lineRule="auto" w:line="240" w:before="0" w:after="0"/>
        <w:ind w:firstLine="709"/>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numPr>
          <w:ilvl w:val="0"/>
          <w:numId w:val="0"/>
        </w:numPr>
        <w:spacing w:lineRule="auto" w:line="240"/>
        <w:ind w:left="360" w:hanging="0"/>
        <w:jc w:val="both"/>
        <w:rPr>
          <w:rFonts w:ascii="Times New Roman" w:hAnsi="Times New Roman" w:eastAsia="Times New Roman" w:cs="Times New Roman"/>
          <w:sz w:val="24"/>
        </w:rPr>
      </w:pPr>
      <w:r>
        <w:rPr>
          <w:rFonts w:eastAsia="Times New Roman" w:cs="Times New Roman" w:ascii="Times New Roman" w:hAnsi="Times New Roman"/>
          <w:sz w:val="24"/>
        </w:rPr>
        <w:t>1.Обеспечение безопасности в электроустановках: методические указания к лабораторным работам /В.Е. Болтнев, С.И. Кордюков. Рязань: РГРТУ, 2020. – 80 с.(№5773).</w:t>
      </w:r>
    </w:p>
    <w:p>
      <w:pPr>
        <w:pStyle w:val="Style20"/>
        <w:widowControl w:val="false"/>
        <w:numPr>
          <w:ilvl w:val="0"/>
          <w:numId w:val="0"/>
        </w:numPr>
        <w:tabs>
          <w:tab w:val="clear" w:pos="708"/>
          <w:tab w:val="left" w:pos="993" w:leader="none"/>
        </w:tabs>
        <w:suppressAutoHyphens w:val="false"/>
        <w:spacing w:before="0" w:after="0"/>
        <w:ind w:left="0" w:hanging="0"/>
        <w:rPr>
          <w:color w:val="000000"/>
          <w:sz w:val="22"/>
          <w:szCs w:val="22"/>
        </w:rPr>
      </w:pPr>
      <w:r>
        <w:rPr>
          <w:rFonts w:eastAsia="Times New Roman" w:cs="Times New Roman" w:ascii="Times New Roman" w:hAnsi="Times New Roman"/>
          <w:bCs/>
          <w:sz w:val="22"/>
          <w:szCs w:val="22"/>
        </w:rPr>
        <w:t xml:space="preserve">       </w:t>
      </w:r>
      <w:r>
        <w:rPr>
          <w:rFonts w:eastAsia="Times New Roman" w:cs="Times New Roman" w:ascii="Times New Roman" w:hAnsi="Times New Roman"/>
          <w:bCs/>
          <w:sz w:val="22"/>
          <w:szCs w:val="22"/>
        </w:rPr>
        <w:t>2. Зайцев Ю.В., Чернышев С.В.</w:t>
      </w:r>
      <w:r>
        <w:rPr>
          <w:rFonts w:eastAsia="Times New Roman" w:cs="Times New Roman" w:ascii="Times New Roman" w:hAnsi="Times New Roman"/>
          <w:b/>
          <w:bCs/>
          <w:sz w:val="22"/>
          <w:szCs w:val="22"/>
        </w:rPr>
        <w:t xml:space="preserve"> </w:t>
      </w:r>
      <w:r>
        <w:rPr>
          <w:rFonts w:eastAsia="Times New Roman" w:cs="Times New Roman" w:ascii="Times New Roman" w:hAnsi="Times New Roman"/>
          <w:sz w:val="22"/>
          <w:szCs w:val="22"/>
        </w:rPr>
        <w:t xml:space="preserve">Безопасность жизнедеятельности: учебник для вузов. – Москва: КУРС, 2020. – 248 с. </w:t>
      </w:r>
      <w:r>
        <w:rPr>
          <w:rFonts w:eastAsia="Times New Roman" w:cs="Times New Roman" w:ascii="Times New Roman" w:hAnsi="Times New Roman"/>
          <w:bCs/>
          <w:sz w:val="22"/>
          <w:szCs w:val="22"/>
          <w:lang w:val="en-US"/>
        </w:rPr>
        <w:t>URL</w:t>
      </w:r>
      <w:r>
        <w:rPr>
          <w:rFonts w:eastAsia="Times New Roman" w:cs="Times New Roman" w:ascii="Times New Roman" w:hAnsi="Times New Roman"/>
          <w:bCs/>
          <w:sz w:val="22"/>
          <w:szCs w:val="22"/>
        </w:rPr>
        <w:t xml:space="preserve">: </w:t>
      </w:r>
      <w:hyperlink r:id="rId2">
        <w:r>
          <w:rPr>
            <w:rFonts w:eastAsia="Times New Roman" w:cs="Times New Roman" w:ascii="Times New Roman" w:hAnsi="Times New Roman"/>
            <w:bCs/>
            <w:sz w:val="22"/>
            <w:szCs w:val="22"/>
          </w:rPr>
          <w:t>https://elib.rsreu.ru/ebs/download/2692</w:t>
        </w:r>
      </w:hyperlink>
    </w:p>
    <w:p>
      <w:pPr>
        <w:pStyle w:val="Normal"/>
        <w:numPr>
          <w:ilvl w:val="0"/>
          <w:numId w:val="0"/>
        </w:numPr>
        <w:spacing w:lineRule="auto" w:line="240"/>
        <w:ind w:left="360" w:hanging="0"/>
        <w:jc w:val="both"/>
        <w:rPr>
          <w:rFonts w:ascii="Times New Roman" w:hAnsi="Times New Roman" w:eastAsia="Times New Roman" w:cs="Times New Roman"/>
          <w:color w:val="000000"/>
          <w:sz w:val="24"/>
          <w:shd w:fill="FCFCFC" w:val="clear"/>
        </w:rPr>
      </w:pPr>
      <w:r>
        <w:rPr>
          <w:rFonts w:eastAsia="Times New Roman" w:cs="Times New Roman" w:ascii="Times New Roman" w:hAnsi="Times New Roman"/>
          <w:color w:val="000000"/>
          <w:sz w:val="24"/>
          <w:shd w:fill="FCFCFC" w:val="clear"/>
        </w:rPr>
        <w:t xml:space="preserve">3. Рысин Ю.С. Основы электробезопасности [Электронный ресурс]: учебное пособие для бакалавров технических направлений подготовки / Ю.С. Рысин, С.Л. Яблочников. — Электрон.текстовые данные. — Саратов: Ай Пи Эр Медиа, 2018. — 75 c. — 978-5-4486-0273-3. — Режим доступа: </w:t>
      </w:r>
      <w:hyperlink r:id="rId3">
        <w:r>
          <w:rPr>
            <w:rFonts w:eastAsia="MS Sans Serif" w:cs="MS Sans Serif" w:ascii="MS Sans Serif" w:hAnsi="MS Sans Serif"/>
            <w:color w:val="0000FF"/>
            <w:sz w:val="24"/>
            <w:u w:val="single"/>
            <w:shd w:fill="FCFCFC" w:val="clear"/>
          </w:rPr>
          <w:t>http://www.iprbookshop.ru/73623.html</w:t>
        </w:r>
      </w:hyperlink>
    </w:p>
    <w:p>
      <w:pPr>
        <w:pStyle w:val="Normal"/>
        <w:numPr>
          <w:ilvl w:val="0"/>
          <w:numId w:val="0"/>
        </w:numPr>
        <w:spacing w:lineRule="auto" w:line="240" w:before="0" w:after="0"/>
        <w:ind w:left="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keepNext w:val="true"/>
        <w:numPr>
          <w:ilvl w:val="0"/>
          <w:numId w:val="0"/>
        </w:numPr>
        <w:spacing w:lineRule="auto" w:line="240" w:before="0" w:after="0"/>
        <w:ind w:left="284" w:hanging="0"/>
        <w:jc w:val="center"/>
        <w:rPr>
          <w:rFonts w:ascii="Times New Roman" w:hAnsi="Times New Roman" w:eastAsia="Times New Roman" w:cs="Times New Roman"/>
          <w:b/>
          <w:b/>
        </w:rPr>
      </w:pPr>
      <w:r>
        <w:rPr>
          <w:rFonts w:eastAsia="Times New Roman" w:cs="Times New Roman" w:ascii="Times New Roman" w:hAnsi="Times New Roman"/>
          <w:b/>
        </w:rPr>
        <w:t>3. МЕТОДИЧЕСКИЕ УКАЗАНИЯ ПО ВЫПОЛНЕНИЮ ПРАКТИЧЕСКИХ ЗАНЯТИЙ</w:t>
      </w:r>
    </w:p>
    <w:p>
      <w:pPr>
        <w:pStyle w:val="Normal"/>
        <w:keepNext w:val="true"/>
        <w:numPr>
          <w:ilvl w:val="0"/>
          <w:numId w:val="3"/>
        </w:numPr>
        <w:spacing w:lineRule="auto" w:line="240" w:before="0" w:after="0"/>
        <w:ind w:left="284" w:hanging="284"/>
        <w:jc w:val="center"/>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Практические занятия являются практической частью курса ЭБвЭЭиЭТ и имеют назначение на практике подтвердить основные положения теории с целью закрепления изученного материала.</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Приступая к выполнению практических занятий студент должен изучить основные положения теории из лекционного курса.</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Выполненные работы защищаются и их положительная оценка является одним из необходимых условий для оценивания знаний на экзамене.</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Отчеты оформляются на листах писчей бумаги формата А4 каждым студентом в отдельности, четким почерком или машинописным текстом.</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 отчете должны быть представлены: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название и цель выполняемой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необходимые схемы изучаемых устройств, сетей и т.п.;</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color w:val="000000"/>
        </w:rPr>
        <w:t xml:space="preserve">– </w:t>
      </w:r>
      <w:r>
        <w:rPr>
          <w:rFonts w:eastAsia="Times New Roman" w:cs="Times New Roman" w:ascii="Times New Roman" w:hAnsi="Times New Roman"/>
        </w:rPr>
        <w:t>необходимые для расчёта формулы;</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таблицы с  расчётными данными;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rPr>
        <w:t xml:space="preserve">– </w:t>
      </w:r>
      <w:r>
        <w:rPr>
          <w:rFonts w:eastAsia="Times New Roman" w:cs="Times New Roman" w:ascii="Times New Roman" w:hAnsi="Times New Roman"/>
        </w:rPr>
        <w:t>в</w:t>
      </w:r>
      <w:r>
        <w:rPr>
          <w:rFonts w:eastAsia="Times New Roman" w:cs="Times New Roman" w:ascii="Times New Roman" w:hAnsi="Times New Roman"/>
          <w:color w:val="000000"/>
        </w:rPr>
        <w:t>ыполненные в масштабе необходимые графики;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выводы, отражающие цель и результаты выполнения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ответы на контрольные вопросы.</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Работа должна быть подписана и датирована студентом.</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Перечень выполняемых практических занятий</w:t>
      </w:r>
    </w:p>
    <w:tbl>
      <w:tblPr>
        <w:tblW w:w="9460" w:type="dxa"/>
        <w:jc w:val="left"/>
        <w:tblInd w:w="203" w:type="dxa"/>
        <w:tblLayout w:type="fixed"/>
        <w:tblCellMar>
          <w:top w:w="0" w:type="dxa"/>
          <w:left w:w="106" w:type="dxa"/>
          <w:bottom w:w="0" w:type="dxa"/>
          <w:right w:w="106" w:type="dxa"/>
        </w:tblCellMar>
        <w:tblLook w:val="0000"/>
      </w:tblPr>
      <w:tblGrid>
        <w:gridCol w:w="845"/>
        <w:gridCol w:w="6945"/>
        <w:gridCol w:w="1670"/>
      </w:tblGrid>
      <w:tr>
        <w:trPr>
          <w:trHeight w:val="1" w:hRule="atLeast"/>
        </w:trPr>
        <w:tc>
          <w:tcPr>
            <w:tcW w:w="845"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0"/>
              </w:rPr>
              <w:t xml:space="preserve">№  </w:t>
            </w:r>
            <w:r>
              <w:rPr>
                <w:rFonts w:eastAsia="Times New Roman" w:cs="Times New Roman" w:ascii="Times New Roman" w:hAnsi="Times New Roman"/>
                <w:sz w:val="20"/>
              </w:rPr>
              <w:t>работы</w:t>
            </w:r>
          </w:p>
        </w:tc>
        <w:tc>
          <w:tcPr>
            <w:tcW w:w="6945"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jc w:val="center"/>
              <w:rPr/>
            </w:pPr>
            <w:r>
              <w:rPr>
                <w:rFonts w:eastAsia="Times New Roman" w:cs="Times New Roman" w:ascii="Times New Roman" w:hAnsi="Times New Roman"/>
                <w:sz w:val="20"/>
              </w:rPr>
              <w:t>Название практического занятия\ раздел</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0"/>
              <w:jc w:val="center"/>
              <w:rPr/>
            </w:pPr>
            <w:r>
              <w:rPr>
                <w:rFonts w:eastAsia="Times New Roman" w:cs="Times New Roman" w:ascii="Times New Roman" w:hAnsi="Times New Roman"/>
                <w:sz w:val="20"/>
              </w:rPr>
              <w:t>Трудоемкость, час</w:t>
            </w:r>
          </w:p>
        </w:tc>
      </w:tr>
      <w:tr>
        <w:trPr>
          <w:trHeight w:val="1" w:hRule="atLeast"/>
        </w:trPr>
        <w:tc>
          <w:tcPr>
            <w:tcW w:w="845"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1</w:t>
            </w:r>
          </w:p>
        </w:tc>
        <w:tc>
          <w:tcPr>
            <w:tcW w:w="6945"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Анализ опасности поражения  током в электрических сетях\ 1</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4</w:t>
            </w:r>
          </w:p>
        </w:tc>
      </w:tr>
      <w:tr>
        <w:trPr>
          <w:trHeight w:val="1" w:hRule="atLeast"/>
        </w:trPr>
        <w:tc>
          <w:tcPr>
            <w:tcW w:w="845"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2</w:t>
            </w:r>
          </w:p>
        </w:tc>
        <w:tc>
          <w:tcPr>
            <w:tcW w:w="6945"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Одиночные заземлители \ 2</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r>
        <w:trPr>
          <w:trHeight w:val="1" w:hRule="atLeast"/>
        </w:trPr>
        <w:tc>
          <w:tcPr>
            <w:tcW w:w="845"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3</w:t>
            </w:r>
          </w:p>
        </w:tc>
        <w:tc>
          <w:tcPr>
            <w:tcW w:w="6945"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Простые групповые заземлители \ 2</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r>
        <w:trPr>
          <w:trHeight w:val="1" w:hRule="atLeast"/>
        </w:trPr>
        <w:tc>
          <w:tcPr>
            <w:tcW w:w="845"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4</w:t>
            </w:r>
          </w:p>
        </w:tc>
        <w:tc>
          <w:tcPr>
            <w:tcW w:w="6945"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Защитное заземление \ 3</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r>
        <w:trPr>
          <w:trHeight w:val="1" w:hRule="atLeast"/>
        </w:trPr>
        <w:tc>
          <w:tcPr>
            <w:tcW w:w="845"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5</w:t>
            </w:r>
          </w:p>
        </w:tc>
        <w:tc>
          <w:tcPr>
            <w:tcW w:w="6945"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Защитное зануление \ 3</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r>
        <w:trPr>
          <w:trHeight w:val="1" w:hRule="atLeast"/>
        </w:trPr>
        <w:tc>
          <w:tcPr>
            <w:tcW w:w="845"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6</w:t>
            </w:r>
          </w:p>
        </w:tc>
        <w:tc>
          <w:tcPr>
            <w:tcW w:w="6945"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Несчастные случаи с людьми от электрического тока с летальным исходом \ 4</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r>
        <w:trPr>
          <w:trHeight w:val="1" w:hRule="atLeast"/>
        </w:trPr>
        <w:tc>
          <w:tcPr>
            <w:tcW w:w="845"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7</w:t>
            </w:r>
          </w:p>
        </w:tc>
        <w:tc>
          <w:tcPr>
            <w:tcW w:w="6945"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Несчастные случаи с людьми от электрического тока без летального исхода \ 6</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bl>
    <w:p>
      <w:pPr>
        <w:pStyle w:val="Normal"/>
        <w:spacing w:lineRule="auto" w:line="240"/>
        <w:ind w:firstLine="709"/>
        <w:jc w:val="both"/>
        <w:rPr>
          <w:rFonts w:ascii="Times New Roman" w:hAnsi="Times New Roman" w:eastAsia="Times New Roman" w:cs="Times New Roman"/>
          <w:b/>
          <w:b/>
          <w:sz w:val="24"/>
          <w:shd w:fill="FFFFFF" w:val="clear"/>
        </w:rPr>
      </w:pPr>
      <w:r>
        <w:rPr>
          <w:rFonts w:eastAsia="Times New Roman" w:cs="Times New Roman" w:ascii="Times New Roman" w:hAnsi="Times New Roman"/>
          <w:b/>
          <w:sz w:val="24"/>
          <w:shd w:fill="FFFFFF" w:val="clear"/>
        </w:rPr>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b/>
        </w:rPr>
        <w:t>Перечень учебно-методического обеспечения  практических занятий</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uppressAutoHyphens w:val="true"/>
        <w:spacing w:lineRule="auto" w:line="240" w:before="0" w:after="0"/>
        <w:ind w:firstLine="709"/>
        <w:jc w:val="both"/>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t xml:space="preserve">1. Обеспечение безопасности в электроустановках: методические указания к практическим занятиям </w:t>
      </w:r>
      <w:r>
        <w:rPr>
          <w:rFonts w:eastAsia="Times New Roman" w:cs="Times New Roman" w:ascii="Times New Roman" w:hAnsi="Times New Roman"/>
          <w:b w:val="false"/>
          <w:bCs w:val="false"/>
          <w:sz w:val="24"/>
        </w:rPr>
        <w:t>/ С.И. Кордюков. Рязань: РГРТУ, 2022. – 84 с.(№7305).</w:t>
      </w:r>
    </w:p>
    <w:p>
      <w:pPr>
        <w:pStyle w:val="Normal"/>
        <w:numPr>
          <w:ilvl w:val="0"/>
          <w:numId w:val="0"/>
        </w:numPr>
        <w:spacing w:lineRule="auto" w:line="240"/>
        <w:ind w:left="720" w:hanging="0"/>
        <w:jc w:val="both"/>
        <w:rPr>
          <w:rFonts w:ascii="Times New Roman" w:hAnsi="Times New Roman" w:eastAsia="Times New Roman" w:cs="Times New Roman"/>
          <w:color w:val="000000"/>
          <w:sz w:val="24"/>
          <w:shd w:fill="FCFCFC" w:val="clear"/>
        </w:rPr>
      </w:pPr>
      <w:r>
        <w:rPr>
          <w:rFonts w:eastAsia="Times New Roman" w:cs="Times New Roman" w:ascii="Times New Roman" w:hAnsi="Times New Roman"/>
          <w:color w:val="000000"/>
          <w:sz w:val="24"/>
          <w:shd w:fill="FCFCFC" w:val="clear"/>
        </w:rPr>
        <w:t xml:space="preserve">2. Рысин Ю.С. Основы электробезопасности [Электронный ресурс]: учебное пособие для бакалавров технических направлений подготовки / Ю.С. Рысин, С.Л. Яблочников. — Электрон.текстовые данные. — Саратов: Ай Пи Эр Медиа, 2018. — 75 c. — 978-5-4486-0273-3. — Режим доступа: </w:t>
      </w:r>
      <w:r>
        <w:rPr>
          <w:rFonts w:eastAsia="MS Sans Serif" w:cs="MS Sans Serif" w:ascii="MS Sans Serif" w:hAnsi="MS Sans Serif"/>
          <w:color w:val="0000FF"/>
          <w:sz w:val="24"/>
          <w:u w:val="single"/>
          <w:shd w:fill="FCFCFC" w:val="clear"/>
        </w:rPr>
        <w:t>http://www.iprbookshop.ru/73623.html</w:t>
      </w:r>
    </w:p>
    <w:p>
      <w:pPr>
        <w:pStyle w:val="Style23"/>
        <w:numPr>
          <w:ilvl w:val="0"/>
          <w:numId w:val="0"/>
        </w:numPr>
        <w:ind w:left="284" w:hanging="0"/>
        <w:jc w:val="center"/>
        <w:rPr/>
      </w:pPr>
      <w:r>
        <w:rPr>
          <w:rStyle w:val="FontStyle134"/>
          <w:rFonts w:ascii="Times New Roman" w:hAnsi="Times New Roman"/>
          <w:bCs/>
          <w:szCs w:val="22"/>
          <w:lang w:val="ru-RU"/>
        </w:rPr>
        <w:t xml:space="preserve">4. </w:t>
      </w:r>
      <w:r>
        <w:rPr>
          <w:rStyle w:val="FontStyle134"/>
          <w:rFonts w:ascii="Times New Roman" w:hAnsi="Times New Roman"/>
          <w:bCs/>
          <w:szCs w:val="22"/>
        </w:rPr>
        <w:t>МЕТОДИЧЕСКИЕ УКАЗАНИЯ ПО ПОДГОТОВКЕ РЕФЕРАТА</w:t>
      </w:r>
    </w:p>
    <w:p>
      <w:pPr>
        <w:pStyle w:val="Style23"/>
        <w:jc w:val="center"/>
        <w:rPr>
          <w:rFonts w:ascii="Times New Roman" w:hAnsi="Times New Roman"/>
          <w:bCs/>
          <w:caps/>
          <w:szCs w:val="22"/>
        </w:rPr>
      </w:pPr>
      <w:r>
        <w:rPr>
          <w:rFonts w:ascii="Times New Roman" w:hAnsi="Times New Roman"/>
          <w:bCs/>
          <w:caps/>
          <w:szCs w:val="22"/>
        </w:rPr>
      </w:r>
    </w:p>
    <w:p>
      <w:pPr>
        <w:pStyle w:val="Style23"/>
        <w:ind w:firstLine="709"/>
        <w:jc w:val="both"/>
        <w:rPr>
          <w:rFonts w:ascii="Times New Roman" w:hAnsi="Times New Roman"/>
        </w:rPr>
      </w:pPr>
      <w:r>
        <w:rPr>
          <w:rFonts w:ascii="Times New Roman" w:hAnsi="Times New Roman"/>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
        <w:ind w:firstLine="709"/>
        <w:jc w:val="both"/>
        <w:rPr>
          <w:rFonts w:ascii="Times New Roman" w:hAnsi="Times New Roman"/>
        </w:rPr>
      </w:pPr>
      <w:r>
        <w:rPr>
          <w:rFonts w:ascii="Times New Roman" w:hAnsi="Times New Roman"/>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
        <w:ind w:firstLine="709"/>
        <w:jc w:val="both"/>
        <w:rPr>
          <w:rFonts w:ascii="Times New Roman" w:hAnsi="Times New Roman"/>
        </w:rPr>
      </w:pPr>
      <w:r>
        <w:rPr>
          <w:rFonts w:ascii="Times New Roman" w:hAnsi="Times New Roman"/>
          <w:sz w:val="22"/>
          <w:szCs w:val="22"/>
        </w:rPr>
        <w:t xml:space="preserve">Структура реферата: </w:t>
      </w:r>
    </w:p>
    <w:p>
      <w:pPr>
        <w:pStyle w:val="Style23"/>
        <w:numPr>
          <w:ilvl w:val="0"/>
          <w:numId w:val="4"/>
        </w:numPr>
        <w:jc w:val="both"/>
        <w:rPr>
          <w:rFonts w:ascii="Times New Roman" w:hAnsi="Times New Roman"/>
        </w:rPr>
      </w:pPr>
      <w:r>
        <w:rPr>
          <w:rFonts w:ascii="Times New Roman" w:hAnsi="Times New Roman"/>
          <w:sz w:val="22"/>
          <w:szCs w:val="22"/>
        </w:rPr>
        <w:t xml:space="preserve">Титульный лист. </w:t>
      </w:r>
    </w:p>
    <w:p>
      <w:pPr>
        <w:pStyle w:val="Style23"/>
        <w:numPr>
          <w:ilvl w:val="0"/>
          <w:numId w:val="4"/>
        </w:numPr>
        <w:jc w:val="both"/>
        <w:rPr>
          <w:rFonts w:ascii="Times New Roman" w:hAnsi="Times New Roman"/>
        </w:rPr>
      </w:pPr>
      <w:r>
        <w:rPr>
          <w:rFonts w:ascii="Times New Roman" w:hAnsi="Times New Roman"/>
          <w:sz w:val="22"/>
          <w:szCs w:val="22"/>
        </w:rPr>
        <w:t xml:space="preserve">Оглавление. </w:t>
      </w:r>
    </w:p>
    <w:p>
      <w:pPr>
        <w:pStyle w:val="Style23"/>
        <w:numPr>
          <w:ilvl w:val="0"/>
          <w:numId w:val="4"/>
        </w:numPr>
        <w:jc w:val="both"/>
        <w:rPr>
          <w:rFonts w:ascii="Times New Roman" w:hAnsi="Times New Roman"/>
        </w:rPr>
      </w:pPr>
      <w:r>
        <w:rPr>
          <w:rFonts w:ascii="Times New Roman" w:hAnsi="Times New Roman"/>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
        <w:numPr>
          <w:ilvl w:val="0"/>
          <w:numId w:val="4"/>
        </w:numPr>
        <w:jc w:val="both"/>
        <w:rPr>
          <w:rFonts w:ascii="Times New Roman" w:hAnsi="Times New Roman"/>
        </w:rPr>
      </w:pPr>
      <w:r>
        <w:rPr>
          <w:rFonts w:ascii="Times New Roman" w:hAnsi="Times New Roman"/>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
        <w:numPr>
          <w:ilvl w:val="0"/>
          <w:numId w:val="4"/>
        </w:numPr>
        <w:jc w:val="both"/>
        <w:rPr>
          <w:rFonts w:ascii="Times New Roman" w:hAnsi="Times New Roman"/>
        </w:rPr>
      </w:pPr>
      <w:r>
        <w:rPr>
          <w:rFonts w:ascii="Times New Roman" w:hAnsi="Times New Roman"/>
          <w:sz w:val="22"/>
          <w:szCs w:val="22"/>
        </w:rPr>
        <w:t xml:space="preserve">Заключение (подводятся итоги и даются обобщённые основные выводы по теме реферата. </w:t>
      </w:r>
    </w:p>
    <w:p>
      <w:pPr>
        <w:pStyle w:val="Style23"/>
        <w:numPr>
          <w:ilvl w:val="0"/>
          <w:numId w:val="4"/>
        </w:numPr>
        <w:jc w:val="both"/>
        <w:rPr>
          <w:rFonts w:ascii="Times New Roman" w:hAnsi="Times New Roman"/>
        </w:rPr>
      </w:pPr>
      <w:r>
        <w:rPr>
          <w:rFonts w:ascii="Times New Roman" w:hAnsi="Times New Roman"/>
          <w:sz w:val="22"/>
          <w:szCs w:val="22"/>
        </w:rPr>
        <w:t xml:space="preserve">Список использованной литературы. В списке должно быть не менее 5 источников. </w:t>
      </w:r>
    </w:p>
    <w:p>
      <w:pPr>
        <w:pStyle w:val="Style23"/>
        <w:ind w:firstLine="709"/>
        <w:jc w:val="both"/>
        <w:rPr>
          <w:rFonts w:ascii="Times New Roman" w:hAnsi="Times New Roman"/>
        </w:rPr>
      </w:pPr>
      <w:r>
        <w:rPr>
          <w:rFonts w:ascii="Times New Roman" w:hAnsi="Times New Roman"/>
          <w:sz w:val="22"/>
          <w:szCs w:val="22"/>
        </w:rPr>
        <w:t xml:space="preserve">Допускается включение таблиц, графиков, схем как в основном тексте, так и в качестве приложений. </w:t>
      </w:r>
    </w:p>
    <w:p>
      <w:pPr>
        <w:pStyle w:val="Style23"/>
        <w:ind w:firstLine="709"/>
        <w:jc w:val="both"/>
        <w:rPr>
          <w:rFonts w:ascii="Times New Roman" w:hAnsi="Times New Roman"/>
        </w:rPr>
      </w:pPr>
      <w:r>
        <w:rPr>
          <w:rFonts w:ascii="Times New Roman" w:hAnsi="Times New Roman"/>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
        <w:ind w:firstLine="709"/>
        <w:jc w:val="both"/>
        <w:rPr>
          <w:rFonts w:ascii="Times New Roman" w:hAnsi="Times New Roman"/>
        </w:rPr>
      </w:pPr>
      <w:r>
        <w:rPr>
          <w:rFonts w:ascii="Times New Roman" w:hAnsi="Times New Roman"/>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
        <w:jc w:val="center"/>
        <w:rPr>
          <w:rFonts w:ascii="Times New Roman" w:hAnsi="Times New Roman"/>
          <w:bCs/>
          <w:caps/>
          <w:szCs w:val="22"/>
        </w:rPr>
      </w:pPr>
      <w:r>
        <w:rPr>
          <w:rFonts w:ascii="Times New Roman" w:hAnsi="Times New Roman"/>
          <w:bCs/>
          <w:caps/>
          <w:szCs w:val="22"/>
        </w:rPr>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numPr>
          <w:ilvl w:val="0"/>
          <w:numId w:val="0"/>
        </w:numPr>
        <w:spacing w:lineRule="auto" w:line="240" w:before="0" w:after="0"/>
        <w:ind w:left="284" w:hanging="0"/>
        <w:jc w:val="center"/>
        <w:rPr>
          <w:rFonts w:ascii="Times New Roman" w:hAnsi="Times New Roman" w:eastAsia="Times New Roman" w:cs="Times New Roman"/>
          <w:b/>
          <w:b/>
          <w:caps/>
        </w:rPr>
      </w:pPr>
      <w:r>
        <w:rPr>
          <w:rFonts w:eastAsia="Times New Roman" w:cs="Times New Roman" w:ascii="Times New Roman" w:hAnsi="Times New Roman"/>
          <w:b/>
        </w:rPr>
        <w:t xml:space="preserve">5.  МЕТОДИЧЕСКИЕ УКАЗАНИЯ ПО </w:t>
      </w:r>
      <w:r>
        <w:rPr>
          <w:rFonts w:eastAsia="Times New Roman" w:cs="Times New Roman" w:ascii="Times New Roman" w:hAnsi="Times New Roman"/>
          <w:b/>
          <w:caps/>
        </w:rPr>
        <w:t>подготовке к ЭКЗАМЕНУ</w:t>
      </w:r>
    </w:p>
    <w:p>
      <w:pPr>
        <w:pStyle w:val="Normal"/>
        <w:keepNext w:val="true"/>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5800" w:leader="none"/>
        </w:tabs>
        <w:suppressAutoHyphens w:val="true"/>
        <w:spacing w:lineRule="auto" w:line="240" w:before="0" w:after="0"/>
        <w:ind w:firstLine="709"/>
        <w:jc w:val="both"/>
        <w:rPr>
          <w:rFonts w:ascii="Times New Roman" w:hAnsi="Times New Roman" w:eastAsia="Times New Roman" w:cs="Times New Roman"/>
          <w:b/>
          <w:b/>
          <w:i/>
          <w:i/>
          <w:sz w:val="24"/>
        </w:rPr>
      </w:pPr>
      <w:r>
        <w:rPr>
          <w:rFonts w:eastAsia="Times New Roman" w:cs="Times New Roman" w:ascii="Times New Roman" w:hAnsi="Times New Roman"/>
          <w:b/>
          <w:i/>
          <w:sz w:val="24"/>
        </w:rPr>
        <w:t>Подготовка к сдаче экзамена</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Экзамен – форма промежуточной проверки знаний, умений, владений, степени освоения дисциплины.</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На экзамене оцениваются:</w:t>
      </w:r>
    </w:p>
    <w:p>
      <w:pPr>
        <w:pStyle w:val="Normal"/>
        <w:numPr>
          <w:ilvl w:val="0"/>
          <w:numId w:val="5"/>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понимание и степень усвоения теории;</w:t>
      </w:r>
    </w:p>
    <w:p>
      <w:pPr>
        <w:pStyle w:val="Normal"/>
        <w:numPr>
          <w:ilvl w:val="0"/>
          <w:numId w:val="5"/>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методическая подготовка;</w:t>
      </w:r>
    </w:p>
    <w:p>
      <w:pPr>
        <w:pStyle w:val="Normal"/>
        <w:numPr>
          <w:ilvl w:val="0"/>
          <w:numId w:val="5"/>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знание фактического материала;</w:t>
      </w:r>
    </w:p>
    <w:p>
      <w:pPr>
        <w:pStyle w:val="Normal"/>
        <w:numPr>
          <w:ilvl w:val="0"/>
          <w:numId w:val="5"/>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знакомство с основной и дополнительно литературой, а также с современными публикациями по данному курсу;</w:t>
      </w:r>
    </w:p>
    <w:p>
      <w:pPr>
        <w:pStyle w:val="Normal"/>
        <w:numPr>
          <w:ilvl w:val="0"/>
          <w:numId w:val="5"/>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умение приложить теорию к практике, решать задачи, тесты, правильно проводить расчеты и т. д.;</w:t>
      </w:r>
    </w:p>
    <w:p>
      <w:pPr>
        <w:pStyle w:val="Normal"/>
        <w:numPr>
          <w:ilvl w:val="0"/>
          <w:numId w:val="5"/>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логика, структура и стиль ответа, умение защищать выдвигаемые положения.</w:t>
      </w:r>
    </w:p>
    <w:p>
      <w:pPr>
        <w:pStyle w:val="Normal"/>
        <w:suppressAutoHyphens w:val="true"/>
        <w:spacing w:lineRule="auto" w:line="240" w:before="0" w:after="0"/>
        <w:ind w:right="84" w:firstLine="708"/>
        <w:jc w:val="both"/>
        <w:rPr>
          <w:rFonts w:ascii="Times New Roman" w:hAnsi="Times New Roman" w:eastAsia="Times New Roman" w:cs="Times New Roman"/>
        </w:rPr>
      </w:pPr>
      <w:r>
        <w:rPr>
          <w:rFonts w:eastAsia="Times New Roman" w:cs="Times New Roman" w:ascii="Times New Roman" w:hAnsi="Times New Roman"/>
        </w:rPr>
        <w:t>В конце семестра при подготовке к экзамену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suppressAutoHyphens w:val="true"/>
        <w:spacing w:lineRule="auto" w:line="240" w:before="0" w:after="0"/>
        <w:ind w:right="84" w:firstLine="708"/>
        <w:jc w:val="both"/>
        <w:rPr>
          <w:rFonts w:ascii="Times New Roman" w:hAnsi="Times New Roman" w:eastAsia="Times New Roman" w:cs="Times New Roman"/>
        </w:rPr>
      </w:pPr>
      <w:r>
        <w:rPr>
          <w:rFonts w:eastAsia="Times New Roman" w:cs="Times New Roman" w:ascii="Times New Roman" w:hAnsi="Times New Roman"/>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suppressAutoHyphens w:val="true"/>
        <w:spacing w:lineRule="auto" w:line="240" w:before="0" w:after="0"/>
        <w:ind w:right="84" w:firstLine="708"/>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1138" w:leader="none"/>
        </w:tabs>
        <w:suppressAutoHyphens w:val="tru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color w:val="000000"/>
          <w:shd w:fill="FFFFFF" w:val="clear"/>
        </w:rPr>
        <w:t xml:space="preserve">Примерный перечень вопросов </w:t>
      </w:r>
      <w:r>
        <w:rPr>
          <w:rFonts w:eastAsia="Times New Roman" w:cs="Times New Roman" w:ascii="Times New Roman" w:hAnsi="Times New Roman"/>
          <w:b/>
        </w:rPr>
        <w:t>к экзамену</w:t>
      </w:r>
    </w:p>
    <w:p>
      <w:pPr>
        <w:pStyle w:val="Normal"/>
        <w:tabs>
          <w:tab w:val="clear" w:pos="708"/>
          <w:tab w:val="left" w:pos="1138" w:leader="none"/>
        </w:tabs>
        <w:suppressAutoHyphens w:val="tru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по дисциплине «Электробезопасность в электроэнергетике и электротехнике»</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Основные термины и определения.</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электрических сетей.</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Системы электрических сетей, обозначение.</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Сопротивление изоляции и емкость сети относительно земли.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классификация помещений по условиям среды, по опасности поражения человека током.</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классификация помещений по доступности электрооборудования, по условиям электробезопасности.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классификация электрических изделий по способу защиты людей от поражения электрическим током.</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категории электроприемников и обеспечение надежности электроснабжения.</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Основные требования к применению защит от поражения электрическим током. Трехуровневая защита.</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Область применения защитного заземления и зануления. Виды заземления и зануления.</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Основные способы строительства заземления. Достоинства и недостатки.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Электроустановки и их части, подлежащии защитному заземлению и занулению.</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Виды заземляющих устройств и требования предъявляемые к ним.</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Проверка заземления и зануления.</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Требования к монтажу заземляющих устройств. Расположение шин.</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Заземление электроустановок напряженим выше 1.кВ в сетях с эффективно заземленной нейтралью.</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Заземление электроустановок напряженим выше 1.кВ в сетях с изолированной нейтралью.</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Заземление электроустановок напряженим до 1.кВ в сетях с глухозаземленной и изолированными нейтралями.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Требования к устройству и применению заземляющих и защитных проводников.</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Устройство защитного заземления и защитного зануления в особых случаях: переносные электроприемники.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Устройство защитного заземления и защитного зануления в особых случаях: осветительные установки.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Устройство защитного заземления и защитного зануления в особых случаях: электроустановки, содержащие оборудование обработки информации.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Маркировка и условные обозначения характеристик электротехнических устройств.</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защита плавкими предохранителями.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автоматы с электромагнитным расцепителем.</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автоматы с тепловым расцепителем.</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выбор автоматических выключаталей.</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УЗО, реагирующие на дифференциальный ток.</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УЗО, реагирующие на потенциал корпуса относительно земли.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Нормируемые параметры и классификации УЗО.</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Применение УЗО в TN-C сетях.</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Применение УЗО в TN-S, TN-C-S сетях.</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Применение УЗО в TT, IT сетях.</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Изоляция электроустановок и её контроль.</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Двойная изоляция и применение малых напряжений.</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Указатели напряжения. Указатели напряжения для фазировки.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Электрическое разделение сетей.</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от перехода напряжения выше 1000 В в сеть напряжением до 1000 В.</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Защитные средства, применяемые в электроустановках. Определения, классификация.</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Изолирующие защитные средства.</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Статическое электричество и защита от него.</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Атмосферное электричество и защита от него.</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Пожаро- и взрывобезопасность в электроустановках.</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персонала. Подготовка электротехнического персонала.</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Организационные мероприятия, обеспечивающие безопасность работ.</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Технические мероприятия, обеспечивающие безопасность работ со снятием напряжения.</w:t>
      </w:r>
    </w:p>
    <w:p>
      <w:pPr>
        <w:pStyle w:val="Normal"/>
        <w:tabs>
          <w:tab w:val="clear" w:pos="708"/>
          <w:tab w:val="left" w:pos="5800" w:leader="none"/>
        </w:tabs>
        <w:suppressAutoHyphens w:val="true"/>
        <w:spacing w:lineRule="auto" w:line="240" w:before="0" w:after="0"/>
        <w:ind w:firstLine="709"/>
        <w:jc w:val="both"/>
        <w:rPr>
          <w:rFonts w:ascii="Times New Roman" w:hAnsi="Times New Roman" w:eastAsia="Times New Roman" w:cs="Times New Roman"/>
          <w:color w:val="7030A0"/>
        </w:rPr>
      </w:pPr>
      <w:r>
        <w:rPr>
          <w:rFonts w:eastAsia="Times New Roman" w:cs="Times New Roman" w:ascii="Times New Roman" w:hAnsi="Times New Roman"/>
          <w:color w:val="7030A0"/>
        </w:rPr>
      </w:r>
    </w:p>
    <w:p>
      <w:pPr>
        <w:pStyle w:val="Normal"/>
        <w:keepNext w:val="true"/>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suppressAutoHyphens w:val="true"/>
        <w:spacing w:lineRule="auto" w:line="240" w:before="0" w:after="0"/>
        <w:jc w:val="both"/>
        <w:rPr>
          <w:rFonts w:ascii="Times New Roman" w:hAnsi="Times New Roman" w:eastAsia="Times New Roman" w:cs="Times New Roman"/>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MS Sans Serif">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2"/>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Hyperlink"/>
    <w:rPr>
      <w:color w:val="000080"/>
      <w:u w:val="single"/>
      <w:lang w:val="zxx" w:eastAsia="zxx" w:bidi="zxx"/>
    </w:rPr>
  </w:style>
  <w:style w:type="character" w:styleId="FontStyle134">
    <w:name w:val="Font Style134"/>
    <w:qFormat/>
    <w:rPr>
      <w:rFonts w:ascii="Times New Roman" w:hAnsi="Times New Roman"/>
      <w:b/>
      <w:sz w:val="22"/>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Style20">
    <w:name w:val="Body Text Indent"/>
    <w:basedOn w:val="Normal"/>
    <w:pPr>
      <w:ind w:firstLine="720"/>
    </w:pPr>
    <w:rPr/>
  </w:style>
  <w:style w:type="paragraph" w:styleId="Style23">
    <w:name w:val="Style23"/>
    <w:basedOn w:val="Normal"/>
    <w:qFormat/>
    <w:pPr>
      <w:widowControl w:val="false"/>
      <w:suppressAutoHyphens w:val="false"/>
      <w:spacing w:before="0" w:after="0"/>
      <w:ind w:hanging="0"/>
      <w:jc w:val="left"/>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692" TargetMode="External"/><Relationship Id="rId3" Type="http://schemas.openxmlformats.org/officeDocument/2006/relationships/hyperlink" Target="http://www.iprbookshop.ru/73623.htm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LibreOffice/7.4.0.3$Windows_X86_64 LibreOffice_project/f85e47c08ddd19c015c0114a68350214f7066f5a</Application>
  <AppVersion>15.0000</AppVersion>
  <Pages>7</Pages>
  <Words>2065</Words>
  <Characters>14363</Characters>
  <CharactersWithSpaces>16220</CharactersWithSpaces>
  <Paragraphs>213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2021-05-12T07:20:00Z</dcterms:created>
  <dc:creator/>
  <dc:description/>
  <dc:language>ru-RU</dc:language>
  <cp:lastModifiedBy/>
  <dcterms:modified xsi:type="dcterms:W3CDTF">2023-09-21T14:34:26Z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