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>
      <w:pPr>
        <w:pStyle w:val="Defaul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«Приборы и методы исследования в электрохимии»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/>
          <w:b/>
          <w:sz w:val="24"/>
        </w:rPr>
        <w:t>ПРОМЕЖУТОЧНЫЙ КОНТРОЛЬ. ЭКЗАМЕН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  <w:shd w:fill="auto" w:val="clear"/>
        </w:rPr>
        <w:t xml:space="preserve">Формой промежуточной аттестации в </w:t>
      </w:r>
      <w:r>
        <w:rPr>
          <w:rFonts w:cs="Times New Roman"/>
          <w:sz w:val="24"/>
          <w:shd w:fill="auto" w:val="clear"/>
        </w:rPr>
        <w:t>7</w:t>
      </w:r>
      <w:r>
        <w:rPr>
          <w:rFonts w:cs="Times New Roman"/>
          <w:sz w:val="24"/>
          <w:shd w:fill="auto" w:val="clear"/>
        </w:rPr>
        <w:t xml:space="preserve"> семестр</w:t>
      </w:r>
      <w:r>
        <w:rPr>
          <w:rFonts w:cs="Times New Roman"/>
          <w:sz w:val="24"/>
          <w:shd w:fill="auto" w:val="clear"/>
        </w:rPr>
        <w:t>е является экзамен.</w:t>
      </w:r>
      <w:r>
        <w:rPr>
          <w:rFonts w:cs="Times New Roman"/>
          <w:sz w:val="24"/>
        </w:rPr>
        <w:t xml:space="preserve"> В билет включается 2 вопроса.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Пример билета при проведении промежуточной аттестации в форме экзамена: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tbl>
      <w:tblPr>
        <w:tblW w:w="93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75"/>
        <w:gridCol w:w="6188"/>
        <w:gridCol w:w="2100"/>
      </w:tblGrid>
      <w:tr>
        <w:trPr>
          <w:trHeight w:val="1069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rPr/>
            </w:pPr>
            <w:r>
              <w:rPr/>
              <w:t>РГРТУ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rPr>
                <w:rFonts w:eastAsia="Calibri"/>
                <w:bCs w:val="false"/>
                <w:szCs w:val="26"/>
                <w:lang w:eastAsia="en-US"/>
              </w:rPr>
            </w:pPr>
            <w:r>
              <w:rPr>
                <w:rFonts w:eastAsia="Calibri"/>
                <w:bCs w:val="false"/>
                <w:szCs w:val="26"/>
                <w:lang w:eastAsia="en-US"/>
              </w:rPr>
              <w:t>Экзаменационный билет № 1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Кафедра ХТ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Дисциплина «Приборы и методы исследования в электрохимии»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Направление 18.03.01 — Химическая технология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Утверждаю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Зав. кафедрой ХТ</w:t>
              <w:br/>
              <w:t>______________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Коваленко В.В.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«__» _____ 20__</w:t>
            </w:r>
          </w:p>
        </w:tc>
      </w:tr>
      <w:tr>
        <w:trPr>
          <w:trHeight w:val="2797" w:hRule="atLeast"/>
          <w:cantSplit w:val="true"/>
        </w:trPr>
        <w:tc>
          <w:tcPr>
            <w:tcW w:w="9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Электрохимические методы измерения истинной поверхности: по весу (объему) капли; отношение емкостей; зависимость Парсонса-Цобеля; адсорбция водорода из раствора; адсорбция кислорода из раствора.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200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Хроновольтамперометрия. Обратимые электродные процессы, уравнение Рендлса-Шевчика. Критерии обратимости электродного процесса. Необратимые процессы. Потенциалы полупика и пика, величина тока пика. Определение кинетических параметров. Признаки необратимости процесса. Инверсионная вольтамперометрия.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  <w:t>ВОПРОСЫ К ЭКЗАМЕНУ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Электрохимическая система (цепь) как объект экспериментального исследования, её составные элементы. Ионопроводящие среды различной природы. Границы раздела фаз в электрохимических системах.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Повышенные требования к чистоте используемых реактивов, растворителей, электродов, посуды и газов. Квалификации химических реактивов. Дополнительная очистка солей, растворов соляной, серной кислот.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Очистка инертных газов (азота, аргона, гелия). Очистка кислорода. Получение и очистка водорода.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Жидкие и твёрдые электроды. Ртутный капающий электрод. Очистка ртути. Требования к материалу, геометрической форме и состоянию поверхности твердого электрода.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Микроэлектроды: классификация, назначение. Наборные микроэлектроды.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Классификация методов очистки воды. Выбор метода очистки воды в зависимости от качества исходной воды и требований к качеству очищенной. Методы контроля качества очищенной воды.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Дистилляционный метод очистки воды: энергозатраты, причины неполного отделения нелетучих примесей и способы их устранения, удельная электропроводность дистиллята, дополнительная очистка от летучих органических примесей.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Ионообменный метод: принцип очистки, катиониты, аниониты, экологическая вредность.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Электродиализ: принцип метода, катионитовые и анионитовые мембраны, характеристики используемых мембран.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Обратный осмос: принцип метода, полупроницаемые мембраны, характеристики мембран, состав мембран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Понятие видимой (геометрической) и истинной поверхности. Пористость. Фактор шероховатости. Классификация методов определения истинной поверхности и пористости. Метод БЭТ. Микроскопические и дифракционные методы. Объёмометрический метод.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Понятие видимой (геометрической) и истинной поверхности. Пористость. Фактор шероховатости. Классификация методов определения истинной поверхности и пористости. Весовой метод. Проницаемость воздуха или жидкости. Ртутная порометрия.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Электрохимические методы измерения истинной поверхности: по весу (объему) капли; отношение емкостей; зависимость Парсонса-Цобеля; адсорбция водорода из раствора; адсорбция кислорода из раствора.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Электрохимические методы измерения истинной поверхности: осаждение металлов в области «недонапряжения»; вольтамперометрия; отрицательная адсорбция.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Электрохимические методы измерения истинной поверхности: емкость ионного обмена; адсорбция пробных молекул из раствора; массоперенос.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Общие требования к электрохимическим ячейкам. Двух- и трехэлектродные ячейки. Электрод сравнения, рабочий и вспомогательный электроды. Омическое падение потенциала в растворе электролита. Капилляр Луггина. Общая эквивалентная электрическая схема трехэлектродной ячейки.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Различные конструкции капилляров Луггина: погрешности измерения потенциала электрода, влияние на массоперенос у поверхности электрода. Некоторые специальные электрохимические ячейки. Тонкослойные электрохимические ячейки: конструкция, применение, схемы подключения.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Электроды сравнения. Водородный электрод. Каломельные электроды: насыщенный, нормальный и децинормальный. Хлорсеребряный электрод. Оксидно-ртутный электрод.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Электрические величины. Приборы сравнения и непосредственной оценки. Меры и эталоны электрических величин. Характеристики приборов и измерений: приведенная погрешность, абсолютная погрешность, относительная погрешность, чувствительность прибора. Классификация приборов непосредственной оценки в зависимости от природы физического взаимодействия, происходящего в приборе.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Магнитоэлектрические, электромагнитные и электродинамические приборы: схема, принцип действия, достоинства и недостатки, применение.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Измерение тока и напряжения. Шунты. Добавочные сопротивления. Компенсационный метод измерения напряжений и ЭДС. Измерение сопротивлений: метод амперметра и вольтметра, мостовые методы.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Электронные аналоговые приборы: структурная схема, достоинства и недостатки. Структурная схема цифрового измерительного прибора. Аналоговый преобразователь. Аналого-цифровой преобразователь (АЦП).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Операционные усилители: эквивалентная схема, важнейшие характеристики, назначение основных выводов. Понятие идеального операционного усилителя. Базовые схемные блоки на основе операционных усилителей: инвертирующий усилитель, неинвертирующий усилитель, повторитель напряжения.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Операционные усилители: эквивалентная схема, важнейшие характеристики, назначение основных выводов. Понятие идеального операционного усилителя. Базовые схемные блоки на основе операционных усилителей: инструментальный (измерительный) усилитель, преобразователь ток-напряжение, сумматор.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Операционные усилители: эквивалентная схема, важнейшие характеристики, назначение основных выводов. Понятие идеального операционного усилителя. Базовые схемные блоки на основе операционных усилителей: интегратор, дифференциатор, стабилизатор напряжения. Схема и принцип работы потенциостата.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Основные принципы преобразования сигналов в цифровой код. Двоичные коды. Схемы цифро-аналоговых преобразователей (ЦАП). 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Важнейшие характеристики АЦП. Классификация АЦП: с динамической компенсацией, следящий, последовательного приближения, интегрирующий, с преобразованием напряжения в частоту, параллельного (мгновенного) преобразования.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Источники опорного напряжения. Устройства выборки-хранения аналогового сигнала.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Методы и техника определения межфазной поверхностной энергии. Электрокапиллярные измерения. Методы измерения твердости по Ребиндеру и Венстрему. Метод краевого угла.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Экспериментальные методы измерения равновесного, компромиссного потенциалов. Методы расчета и измерения диффузионного потенциала, способы его снижения.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Теория, методы и приборы измерения емкости двойного электрического слоя. Импедансный метод измерения двойного электрического слоя. Свободный и полный заряд электрода. Кривые заряжения. 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Теория, методы и приборы измерения емкости двойного электрического слоя. Электрокапиллярные и адсорбционные методы. Экспериментальное определение и расчет нулевых точек металла в заданном растворителе. Адсорбционный метод изучения двойного электрического слоя. Импедансный и потенциометрический методы исследования адсорбции на твердых и жидких электродах.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Теория, методы и приборы измерения емкости двойного электрического слоя. Методы кривых дифференциальной емкости, электрокапиллярных измерений, кривых заряжения для изучения адсорбции водорода, кислорода, органических веществ.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6"/>
        </w:rPr>
        <w:t>Кинетическое уравнение и основные кинетические параметры электродного процесса. Классификация методов и их возможности. Способы получения поляризационных кривых, форма кривых, предельные токи. Виды и способы определения предельных токов.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6"/>
        </w:rPr>
        <w:t>Обработка поляризационных кривых при малых, средних и высоких перенапряжениях с учетом омической поляризации, обратной составляющей плотности тока и диффузии.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6"/>
        </w:rPr>
        <w:t>Вращающийся дисковый электрод, вращающийся дисковый электрод с кольцом. Возможности методов. Определение тока обмена, коэффициента переноса, порядка реакции, эффективной энергии активации. Установление механизма и кинетики электродного процесса по значениям кинетических параметров.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6"/>
        </w:rPr>
        <w:t>Методы и экспериментальная техника определения вида перенапряжения. Выявление признаков перенапряжения перехода, диффузии, химической реакции, омической поляризации. Температурно-кинетический, переменнотоковый, циклический методы.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6"/>
        </w:rPr>
        <w:t>Полярография. Получение полярограмм. Уравнение полярографической кривой обратимого электродного процесса. Анодно-катодные волны. Анализ обратимых волн. Значение потенциалов полуволн и их определение.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6"/>
        </w:rPr>
        <w:t>Необратимые электродные процессы. Анализ необратимых полярографических волн. Определение коэффициента переноса и константы скорости электродной реакции. Квазиобратимые процессы.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6"/>
        </w:rPr>
        <w:t>Хроновольтамперометрия. Обратимые электродные процессы, уравнение Рендлса-Шевчика. Критерии обратимости электродного процесса. Необратимые процессы. Потенциалы полупика и пика, величина тока пика. Определение кинетических параметров. Признаки необратимости процесса. Инверсионная вольтамперометрия.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6"/>
        </w:rPr>
        <w:t>Релаксационные методы. Основной потенциостатический метод. Метод ступенчатого изменения напряжения. Основной гальваностатический метод.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6"/>
        </w:rPr>
        <w:t>Хронопотенциометрия. Уравнение Санда и Караоглава. Обратимые процессы. Переходное время. Необратимые электродные процессы. Определение кинетических параметров.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6"/>
        </w:rPr>
        <w:t>Хронопотенциометры с реверсом по времени и потенциалу. Хронопотенциометрия с накоплением. Циклическая хронопотенциометрия.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6"/>
        </w:rPr>
        <w:t>Импедансные методы и приборы для их реализации. Электрохимическая импедансная спектроскопия. Понятие импеданса. Способы представления результатов импедансных измерений.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6"/>
        </w:rPr>
        <w:t>Диаграммы Боде. Годографы импеданса. Применение электрохимической импедансной спектроскопии в исследовании электрохимической кинетики, коррозионных процессов, источников тока.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6"/>
        </w:rPr>
        <w:t>Методы изучения продуктов электродных реакций: хронопотенциометрия, хроновольтамперометрия, метод вращающегося дискового электрода с кольцом.</w:t>
      </w:r>
    </w:p>
    <w:p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6"/>
        </w:rPr>
        <w:t>Статистические методы обработки экспериментальных данных. Метод наименьших квадратов. Методы нелинейной аппроксимации. Методы сглаживания экспериментальных данных.</w:t>
      </w:r>
    </w:p>
    <w:p>
      <w:pPr>
        <w:pStyle w:val="Normal"/>
        <w:jc w:val="both"/>
        <w:rPr>
          <w:rFonts w:ascii="Times New Roman" w:hAnsi="Times New Roman"/>
          <w:szCs w:val="26"/>
        </w:rPr>
      </w:pPr>
      <w:r>
        <w:rPr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  <w:t>КРИТЕРИИ ОЦЕНКИ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При промежуточной аттестации обучающегося учитываются: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полнота и глубина ответа (учитывается объем изученного материала, количество усвоенных фактов, понятий);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tbl>
      <w:tblPr>
        <w:tblStyle w:val="a4"/>
        <w:tblW w:w="9350" w:type="dxa"/>
        <w:jc w:val="left"/>
        <w:tblInd w:w="1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50"/>
        <w:gridCol w:w="7700"/>
      </w:tblGrid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Оценка зачета с оценкой, экзамена</w:t>
            </w:r>
          </w:p>
        </w:tc>
        <w:tc>
          <w:tcPr>
            <w:tcW w:w="7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Требования к знаниям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«отлично»</w:t>
            </w:r>
          </w:p>
        </w:tc>
        <w:tc>
          <w:tcPr>
            <w:tcW w:w="7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«отлично»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«хорошо»</w:t>
            </w:r>
          </w:p>
        </w:tc>
        <w:tc>
          <w:tcPr>
            <w:tcW w:w="7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«хорошо»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>
          <w:trHeight w:val="1853" w:hRule="atLeast"/>
        </w:trPr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«удовлетворительно»</w:t>
            </w:r>
          </w:p>
        </w:tc>
        <w:tc>
          <w:tcPr>
            <w:tcW w:w="7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«удовлетворительно»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 излагает материал неполно и допускает неточности в определении понятий или формулировке правил;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>
        <w:trPr/>
        <w:tc>
          <w:tcPr>
            <w:tcW w:w="16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«неудовлетворительно»</w:t>
            </w:r>
          </w:p>
        </w:tc>
        <w:tc>
          <w:tcPr>
            <w:tcW w:w="7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«неудовлетворительно»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Умение обучающегося предоставить ответы на вопросы демонстрирует освоение им следующих индикаторов компетенций: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ПК-1.</w:t>
      </w:r>
      <w:r>
        <w:rPr>
          <w:rFonts w:cs="Times New Roman"/>
          <w:sz w:val="24"/>
          <w:lang w:val="en-US"/>
        </w:rPr>
        <w:t>2</w:t>
      </w:r>
      <w:r>
        <w:rPr>
          <w:rFonts w:cs="Times New Roman"/>
          <w:sz w:val="24"/>
        </w:rPr>
        <w:t>. Проводит испытания и осуществляет оценку результатов испытаний технологи</w:t>
        <w:softHyphen/>
        <w:t>ческой оснастки, электродов-инструментов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Задания закрытого типа: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Что можно определить на основании измерения эквивалентной электропроводности при данной концентрации вещества (λ</w:t>
      </w:r>
      <w:r>
        <w:rPr>
          <w:rFonts w:eastAsia="Times New Roman" w:cs="Times New Roman"/>
          <w:sz w:val="24"/>
          <w:szCs w:val="24"/>
          <w:vertAlign w:val="subscript"/>
          <w:lang w:eastAsia="ru-RU"/>
        </w:rPr>
        <w:t>V</w:t>
      </w:r>
      <w:r>
        <w:rPr>
          <w:rFonts w:eastAsia="Times New Roman" w:cs="Times New Roman"/>
          <w:sz w:val="24"/>
          <w:szCs w:val="24"/>
          <w:lang w:eastAsia="ru-RU"/>
        </w:rPr>
        <w:t>) и в сильно разбавленных растворах (λ</w:t>
      </w:r>
      <w:r>
        <w:rPr>
          <w:rFonts w:eastAsia="Times New Roman" w:cs="Times New Roman"/>
          <w:sz w:val="24"/>
          <w:szCs w:val="24"/>
          <w:vertAlign w:val="subscript"/>
          <w:lang w:eastAsia="ru-RU"/>
        </w:rPr>
        <w:t>∞</w:t>
      </w:r>
      <w:r>
        <w:rPr>
          <w:rFonts w:eastAsia="Times New Roman" w:cs="Times New Roman"/>
          <w:sz w:val="24"/>
          <w:szCs w:val="24"/>
          <w:lang w:eastAsia="ru-RU"/>
        </w:rPr>
        <w:t xml:space="preserve">)? 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С</w:t>
      </w:r>
      <w:r>
        <w:rPr>
          <w:sz w:val="24"/>
          <w:szCs w:val="24"/>
        </w:rPr>
        <w:t>тепень диссоциации слабого электролита</w:t>
      </w:r>
      <w:r>
        <w:rPr>
          <w:rFonts w:eastAsia="Times New Roman" w:cs="Times New Roman"/>
          <w:sz w:val="24"/>
          <w:szCs w:val="24"/>
          <w:lang w:eastAsia="ru-RU"/>
        </w:rPr>
        <w:tab/>
        <w:t xml:space="preserve">(Правильный ответ) 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Массу </w:t>
      </w:r>
      <w:r>
        <w:rPr>
          <w:sz w:val="24"/>
          <w:szCs w:val="24"/>
        </w:rPr>
        <w:t>электродов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Концентрацию </w:t>
      </w:r>
      <w:r>
        <w:rPr>
          <w:sz w:val="24"/>
          <w:szCs w:val="24"/>
        </w:rPr>
        <w:t>исходного раствора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/>
        <w:t xml:space="preserve">Форму электродов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 </w:t>
      </w:r>
      <w:r>
        <w:rPr>
          <w:sz w:val="24"/>
          <w:szCs w:val="24"/>
        </w:rPr>
        <w:t>чем основан кондуктометрический метод анализа?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Н</w:t>
      </w:r>
      <w:r>
        <w:rPr>
          <w:sz w:val="24"/>
          <w:szCs w:val="24"/>
        </w:rPr>
        <w:t>а измерении отношения растворения рабочих электродов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На </w:t>
      </w:r>
      <w:r>
        <w:rPr>
          <w:sz w:val="24"/>
          <w:szCs w:val="24"/>
        </w:rPr>
        <w:t>титровании раствора электролита в щелочной среде, где индикатором выступает эриохром черный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/>
        <w:t xml:space="preserve">На измерении кондуктометрии раствора 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Н</w:t>
      </w:r>
      <w:r>
        <w:rPr>
          <w:sz w:val="24"/>
          <w:szCs w:val="24"/>
        </w:rPr>
        <w:t>а измерении удельной электропроводности раствора при разных концентрациях растворенного вещества</w:t>
        <w:tab/>
        <w:t>(Правильный ответ)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Каким </w:t>
      </w:r>
      <w:r>
        <w:rPr>
          <w:sz w:val="24"/>
          <w:szCs w:val="24"/>
        </w:rPr>
        <w:t>электродом является серебряная пластинка, покрытая слоем хлорида серебра и опущенная в насыщенный раствор хлорида калия?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/>
        <w:t>зависит от второго электрода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электродом первого</w:t>
      </w:r>
      <w:r>
        <w:rPr>
          <w:sz w:val="24"/>
          <w:szCs w:val="24"/>
        </w:rPr>
        <w:t xml:space="preserve"> рода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электродом </w:t>
      </w:r>
      <w:r>
        <w:rPr>
          <w:sz w:val="24"/>
          <w:szCs w:val="24"/>
        </w:rPr>
        <w:t>второго рода</w:t>
      </w:r>
      <w:r>
        <w:rPr>
          <w:rFonts w:eastAsia="Times New Roman" w:cs="Times New Roman"/>
          <w:sz w:val="24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электродом четвертого</w:t>
      </w:r>
      <w:r>
        <w:rPr>
          <w:sz w:val="24"/>
          <w:szCs w:val="24"/>
        </w:rPr>
        <w:t xml:space="preserve"> рода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От </w:t>
      </w:r>
      <w:r>
        <w:rPr>
          <w:sz w:val="24"/>
          <w:szCs w:val="24"/>
        </w:rPr>
        <w:t>чего зависит величина электродного потенциала для электрода второго рода?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от </w:t>
      </w:r>
      <w:r>
        <w:rPr>
          <w:sz w:val="24"/>
          <w:szCs w:val="24"/>
        </w:rPr>
        <w:t>концентрации анионов металла хорошо растворимой соли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от </w:t>
      </w:r>
      <w:r>
        <w:rPr>
          <w:sz w:val="24"/>
          <w:szCs w:val="24"/>
        </w:rPr>
        <w:t>общей концентрации исходных компонентов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/>
        <w:t>от положения элемента материала электрода в таблице Менделеева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от </w:t>
      </w:r>
      <w:r>
        <w:rPr>
          <w:sz w:val="24"/>
          <w:szCs w:val="24"/>
        </w:rPr>
        <w:t>концентрации аниона, общего для труднорастворимой и хорошо растворимой солей</w:t>
        <w:tab/>
        <w:t>(Правильный ответ)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Электродом </w:t>
      </w:r>
      <w:r>
        <w:rPr>
          <w:sz w:val="24"/>
          <w:szCs w:val="24"/>
        </w:rPr>
        <w:t>второго рода является: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/>
        <w:t>электрод, обозначенный цифрой 2 на схеме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графитовый</w:t>
      </w:r>
      <w:r>
        <w:rPr>
          <w:sz w:val="24"/>
          <w:szCs w:val="24"/>
        </w:rPr>
        <w:t xml:space="preserve"> электрод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каломельный </w:t>
      </w:r>
      <w:r>
        <w:rPr>
          <w:sz w:val="24"/>
          <w:szCs w:val="24"/>
        </w:rPr>
        <w:t>электрод</w:t>
        <w:tab/>
        <w:t>(Правильный ответ)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/>
        <w:t xml:space="preserve">гелиевый электрод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Задания открытого типа:</w:t>
      </w:r>
    </w:p>
    <w:p>
      <w:pPr>
        <w:pStyle w:val="Normal"/>
        <w:numPr>
          <w:ilvl w:val="0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sz w:val="24"/>
        </w:rPr>
        <w:t>заряд возникает на поверхности металлической пластинки, опущенной в дистиллированную, воду</w:t>
        <w:tab/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 отрицательный</w:t>
      </w:r>
    </w:p>
    <w:p>
      <w:pPr>
        <w:pStyle w:val="Normal"/>
        <w:numPr>
          <w:ilvl w:val="0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Основной характеристикой измерительного прибора является система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color w:val="181818"/>
          <w:szCs w:val="24"/>
          <w:lang w:eastAsia="ru-RU"/>
        </w:rPr>
        <w:t>измерительного механизма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2613" w:leader="none"/>
        </w:tabs>
        <w:spacing w:before="0" w:after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Приборы </w:t>
      </w:r>
      <w:r>
        <w:rPr>
          <w:rFonts w:eastAsia="Times New Roman" w:cs="Times New Roman"/>
          <w:color w:val="181818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 xml:space="preserve"> позволяют проводить отсчёт измеряемой величины непосредственно на шкале.</w:t>
        <w:tab/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 непосредственной оценки</w:t>
      </w:r>
      <w:r>
        <w:rPr>
          <w:rFonts w:eastAsia="Times New Roman" w:cs="Times New Roman"/>
          <w:color w:val="181818"/>
          <w:szCs w:val="24"/>
          <w:lang w:eastAsia="ru-RU"/>
        </w:rPr>
        <w:t>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700" w:leader="none"/>
        </w:tabs>
        <w:spacing w:before="0" w:after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 xml:space="preserve"> — средство измерений, обеспечивающее воспроизведение и хранение единицы физической величины для передачи её размера другим средствам измерений.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Эталон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700" w:leader="none"/>
        </w:tabs>
        <w:spacing w:before="0" w:after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kern w:val="0"/>
          <w:sz w:val="24"/>
          <w:szCs w:val="24"/>
          <w:u w:val="single"/>
          <w:lang w:val="ru-RU" w:eastAsia="ru-RU" w:bidi="ar-SA"/>
        </w:rPr>
        <w:tab/>
      </w:r>
      <w:r>
        <w:rPr>
          <w:rFonts w:eastAsia="Times New Roman" w:cs="Times New Roman"/>
          <w:color w:val="181818"/>
          <w:kern w:val="0"/>
          <w:sz w:val="24"/>
          <w:szCs w:val="24"/>
          <w:lang w:val="ru-RU" w:eastAsia="ru-RU" w:bidi="ar-SA"/>
        </w:rPr>
        <w:t xml:space="preserve"> — средство измерений, предназначенное для воспроизведения физической величины заданного размера.</w:t>
        <w:tab/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br/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ru-RU" w:bidi="ar-SA"/>
        </w:rPr>
        <w:t>Ответ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:</w:t>
      </w:r>
      <w:r>
        <w:rPr>
          <w:rFonts w:eastAsia="Times New Roman" w:cs="Times New Roman"/>
          <w:color w:val="181818"/>
          <w:kern w:val="0"/>
          <w:sz w:val="24"/>
          <w:szCs w:val="24"/>
          <w:lang w:val="ru-RU" w:eastAsia="ru-RU" w:bidi="ar-SA"/>
        </w:rPr>
        <w:t xml:space="preserve"> Мера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/>
        <w:t>ПК-</w:t>
      </w:r>
      <w:r>
        <w:rPr>
          <w:lang w:val="en-US"/>
        </w:rPr>
        <w:t>1</w:t>
      </w:r>
      <w:r>
        <w:rPr/>
        <w:t>.</w:t>
      </w:r>
      <w:r>
        <w:rPr>
          <w:lang w:val="en-US"/>
        </w:rPr>
        <w:t>4.</w:t>
      </w:r>
      <w:r>
        <w:rPr/>
        <w:t xml:space="preserve"> Использует нормативные документы по качеству, стандартизации и сертификации изделий, элементы экономического анализа в практической деятельности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Задан</w:t>
      </w:r>
      <w:r>
        <w:rPr>
          <w:rFonts w:cs="Times New Roman"/>
          <w:sz w:val="24"/>
          <w:szCs w:val="24"/>
        </w:rPr>
        <w:t>ия закрытого типа: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7425" w:leader="none"/>
        </w:tabs>
        <w:spacing w:lineRule="auto" w:line="240" w:before="0" w:after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>
        <w:rPr>
          <w:sz w:val="24"/>
        </w:rPr>
        <w:t xml:space="preserve">равовые основы стандартизации в России установлены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ListParagraph"/>
        <w:numPr>
          <w:ilvl w:val="1"/>
          <w:numId w:val="5"/>
        </w:numPr>
        <w:rPr/>
      </w:pPr>
      <w:r>
        <w:rPr>
          <w:rFonts w:eastAsia="Times New Roman" w:cs="Times New Roman"/>
          <w:sz w:val="24"/>
          <w:szCs w:val="24"/>
          <w:lang w:eastAsia="ru-RU"/>
        </w:rPr>
        <w:t>законом Российской Федерации о стандартизации</w:t>
      </w:r>
      <w:r>
        <w:rPr>
          <w:rFonts w:eastAsia="Times New Roman" w:cs="Times New Roman"/>
          <w:szCs w:val="24"/>
          <w:lang w:eastAsia="ru-RU"/>
        </w:rPr>
        <w:tab/>
        <w:t xml:space="preserve">(Правильный ответ) </w:t>
      </w:r>
    </w:p>
    <w:p>
      <w:pPr>
        <w:pStyle w:val="ListParagraph"/>
        <w:numPr>
          <w:ilvl w:val="1"/>
          <w:numId w:val="5"/>
        </w:numPr>
        <w:rPr/>
      </w:pPr>
      <w:r>
        <w:rPr/>
        <w:t>указом министерством промышленности и торговли</w:t>
      </w:r>
    </w:p>
    <w:p>
      <w:pPr>
        <w:pStyle w:val="ListParagraph"/>
        <w:numPr>
          <w:ilvl w:val="1"/>
          <w:numId w:val="5"/>
        </w:numPr>
        <w:rPr/>
      </w:pPr>
      <w:r>
        <w:rPr/>
        <w:t>указом президента</w:t>
      </w:r>
    </w:p>
    <w:p>
      <w:pPr>
        <w:pStyle w:val="ListParagraph"/>
        <w:numPr>
          <w:ilvl w:val="1"/>
          <w:numId w:val="5"/>
        </w:numPr>
        <w:rPr/>
      </w:pPr>
      <w:r>
        <w:rPr/>
        <w:t xml:space="preserve">указом министра промышленности и торговли 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4138" w:leader="none"/>
        </w:tabs>
        <w:spacing w:lineRule="auto" w:line="240" w:before="0" w:after="0"/>
        <w:rPr/>
      </w:pPr>
      <w:r>
        <w:rPr>
          <w:sz w:val="24"/>
        </w:rPr>
        <w:t xml:space="preserve">Измерение мощности в цепи постоянного тока с помощью амперметра и вольтметра относится к </w:t>
      </w:r>
      <w:r>
        <w:rPr>
          <w:sz w:val="24"/>
          <w:u w:val="single"/>
        </w:rPr>
        <w:tab/>
      </w:r>
      <w:r>
        <w:rPr>
          <w:sz w:val="24"/>
        </w:rPr>
        <w:t xml:space="preserve"> измерениям.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5"/>
        </w:numPr>
        <w:rPr/>
      </w:pPr>
      <w:r>
        <w:rPr/>
        <w:t>простым</w:t>
      </w:r>
    </w:p>
    <w:p>
      <w:pPr>
        <w:pStyle w:val="ListParagraph"/>
        <w:numPr>
          <w:ilvl w:val="1"/>
          <w:numId w:val="5"/>
        </w:numPr>
        <w:rPr/>
      </w:pPr>
      <w:r>
        <w:rPr/>
        <w:t>обычным</w:t>
      </w:r>
    </w:p>
    <w:p>
      <w:pPr>
        <w:pStyle w:val="ListParagraph"/>
        <w:numPr>
          <w:ilvl w:val="1"/>
          <w:numId w:val="5"/>
        </w:numPr>
        <w:rPr/>
      </w:pPr>
      <w:r>
        <w:rPr/>
        <w:t xml:space="preserve">прямым </w:t>
      </w:r>
    </w:p>
    <w:p>
      <w:pPr>
        <w:pStyle w:val="ListParagraph"/>
        <w:numPr>
          <w:ilvl w:val="1"/>
          <w:numId w:val="5"/>
        </w:numPr>
        <w:rPr/>
      </w:pPr>
      <w:r>
        <w:rPr>
          <w:rFonts w:eastAsia="Times New Roman" w:cs="Times New Roman"/>
          <w:sz w:val="24"/>
          <w:szCs w:val="24"/>
          <w:lang w:eastAsia="ru-RU"/>
        </w:rPr>
        <w:t>косвенным</w:t>
      </w:r>
      <w:r>
        <w:rPr>
          <w:rFonts w:eastAsia="Times New Roman" w:cs="Times New Roman"/>
          <w:szCs w:val="24"/>
          <w:lang w:eastAsia="ru-RU"/>
        </w:rPr>
        <w:tab/>
        <w:t xml:space="preserve">(Правильный ответ) 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3113" w:leader="none"/>
        </w:tabs>
        <w:spacing w:lineRule="auto" w:line="240" w:before="0" w:after="0"/>
        <w:rPr/>
      </w:pPr>
      <w:r>
        <w:rPr>
          <w:rFonts w:eastAsia="Times New Roman" w:cs="Times New Roman"/>
          <w:color w:val="181818"/>
          <w:szCs w:val="24"/>
          <w:lang w:eastAsia="ru-RU"/>
        </w:rPr>
        <w:t xml:space="preserve">При прекращении выпуска продукции, производившейся конкретному стандарту, происходит его </w:t>
      </w:r>
      <w:r>
        <w:rPr>
          <w:rFonts w:eastAsia="Times New Roman" w:cs="Times New Roman"/>
          <w:color w:val="181818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</w:p>
    <w:p>
      <w:pPr>
        <w:pStyle w:val="ListParagraph"/>
        <w:numPr>
          <w:ilvl w:val="1"/>
          <w:numId w:val="5"/>
        </w:numPr>
        <w:rPr/>
      </w:pPr>
      <w:r>
        <w:rPr/>
        <w:t>приостановление</w:t>
      </w:r>
    </w:p>
    <w:p>
      <w:pPr>
        <w:pStyle w:val="ListParagraph"/>
        <w:numPr>
          <w:ilvl w:val="1"/>
          <w:numId w:val="5"/>
        </w:numPr>
        <w:rPr/>
      </w:pPr>
      <w:r>
        <w:rPr/>
        <w:t>пересмотр</w:t>
      </w:r>
    </w:p>
    <w:p>
      <w:pPr>
        <w:pStyle w:val="ListParagraph"/>
        <w:numPr>
          <w:ilvl w:val="1"/>
          <w:numId w:val="5"/>
        </w:numPr>
        <w:rPr/>
      </w:pPr>
      <w:r>
        <w:rPr>
          <w:rFonts w:eastAsia="Times New Roman" w:cs="Times New Roman"/>
          <w:color w:val="181818"/>
          <w:szCs w:val="24"/>
          <w:lang w:eastAsia="ru-RU"/>
        </w:rPr>
        <w:t>отмена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5"/>
        </w:numPr>
        <w:rPr/>
      </w:pPr>
      <w:r>
        <w:rPr/>
        <w:t>ничего не происходит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3000" w:leader="none"/>
        </w:tabs>
        <w:spacing w:lineRule="auto" w:line="240" w:before="0" w:after="0"/>
        <w:rPr/>
      </w:pPr>
      <w:r>
        <w:rPr>
          <w:rFonts w:eastAsia="Times New Roman" w:cs="Times New Roman"/>
          <w:color w:val="181818"/>
          <w:szCs w:val="24"/>
          <w:lang w:eastAsia="ru-RU"/>
        </w:rPr>
        <w:t xml:space="preserve">Общероссийские классификаторы технико-экономической информации называются </w:t>
      </w:r>
      <w:r>
        <w:rPr>
          <w:rFonts w:eastAsia="Times New Roman" w:cs="Times New Roman"/>
          <w:color w:val="181818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</w:p>
    <w:p>
      <w:pPr>
        <w:pStyle w:val="ListParagraph"/>
        <w:numPr>
          <w:ilvl w:val="1"/>
          <w:numId w:val="5"/>
        </w:numPr>
        <w:rPr/>
      </w:pPr>
      <w:r>
        <w:rPr/>
        <w:t>нормативный документ</w:t>
      </w:r>
    </w:p>
    <w:p>
      <w:pPr>
        <w:pStyle w:val="ListParagraph"/>
        <w:numPr>
          <w:ilvl w:val="1"/>
          <w:numId w:val="5"/>
        </w:numPr>
        <w:rPr>
          <w:rFonts w:eastAsia="Times New Roman" w:cs="Times New Roman"/>
          <w:szCs w:val="24"/>
          <w:lang w:eastAsia="ru-RU"/>
        </w:rPr>
      </w:pPr>
      <w:r>
        <w:rPr/>
        <w:t>правовой документ</w:t>
      </w:r>
    </w:p>
    <w:p>
      <w:pPr>
        <w:pStyle w:val="ListParagraph"/>
        <w:numPr>
          <w:ilvl w:val="1"/>
          <w:numId w:val="5"/>
        </w:numPr>
        <w:rPr>
          <w:rFonts w:eastAsia="Times New Roman" w:cs="Times New Roman"/>
          <w:szCs w:val="24"/>
          <w:lang w:eastAsia="ru-RU"/>
        </w:rPr>
      </w:pPr>
      <w:r>
        <w:rPr/>
        <w:t>научный документ</w:t>
      </w:r>
    </w:p>
    <w:p>
      <w:pPr>
        <w:pStyle w:val="ListParagraph"/>
        <w:numPr>
          <w:ilvl w:val="1"/>
          <w:numId w:val="5"/>
        </w:numPr>
        <w:rPr/>
      </w:pPr>
      <w:r>
        <w:rPr>
          <w:rFonts w:eastAsia="Times New Roman" w:cs="Times New Roman"/>
          <w:color w:val="181818"/>
          <w:szCs w:val="24"/>
          <w:lang w:eastAsia="ru-RU"/>
        </w:rPr>
        <w:t>технический документ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663" w:leader="none"/>
        </w:tabs>
        <w:spacing w:lineRule="auto" w:line="240" w:before="0" w:after="0"/>
        <w:rPr/>
      </w:pPr>
      <w:r>
        <w:rPr>
          <w:rFonts w:eastAsia="Times New Roman" w:cs="Times New Roman"/>
          <w:color w:val="181818"/>
          <w:szCs w:val="24"/>
          <w:lang w:eastAsia="ru-RU"/>
        </w:rPr>
        <w:t xml:space="preserve">Чтобы иметь право маркировать свою продукцию указанным знаком, необходимо получить </w:t>
      </w:r>
      <w:r>
        <w:rPr>
          <w:rFonts w:eastAsia="Times New Roman" w:cs="Times New Roman"/>
          <w:color w:val="181818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 xml:space="preserve"> в территориальном органе Госстандарта России.</w:t>
      </w:r>
    </w:p>
    <w:p>
      <w:pPr>
        <w:pStyle w:val="ListParagraph"/>
        <w:numPr>
          <w:ilvl w:val="1"/>
          <w:numId w:val="5"/>
        </w:numPr>
        <w:rPr/>
      </w:pPr>
      <w:r>
        <w:rPr/>
        <w:t>справку</w:t>
      </w:r>
    </w:p>
    <w:p>
      <w:pPr>
        <w:pStyle w:val="ListParagraph"/>
        <w:numPr>
          <w:ilvl w:val="1"/>
          <w:numId w:val="5"/>
        </w:numPr>
        <w:rPr/>
      </w:pPr>
      <w:r>
        <w:rPr/>
        <w:t>патент</w:t>
      </w:r>
    </w:p>
    <w:p>
      <w:pPr>
        <w:pStyle w:val="ListParagraph"/>
        <w:numPr>
          <w:ilvl w:val="1"/>
          <w:numId w:val="5"/>
        </w:numPr>
        <w:rPr/>
      </w:pPr>
      <w:r>
        <w:rPr>
          <w:rFonts w:eastAsia="Times New Roman" w:cs="Times New Roman"/>
          <w:color w:val="181818"/>
          <w:szCs w:val="24"/>
          <w:lang w:eastAsia="ru-RU"/>
        </w:rPr>
        <w:t>лицензию</w:t>
      </w:r>
      <w:r>
        <w:rPr>
          <w:rFonts w:eastAsia="Times New Roman" w:cs="Times New Roman"/>
          <w:szCs w:val="24"/>
          <w:lang w:eastAsia="ru-RU"/>
        </w:rPr>
        <w:tab/>
        <w:t xml:space="preserve">(Правильный ответ) </w:t>
      </w:r>
    </w:p>
    <w:p>
      <w:pPr>
        <w:pStyle w:val="ListParagraph"/>
        <w:numPr>
          <w:ilvl w:val="1"/>
          <w:numId w:val="5"/>
        </w:numPr>
        <w:rPr>
          <w:rFonts w:eastAsia="Times New Roman" w:cs="Times New Roman"/>
          <w:szCs w:val="24"/>
          <w:lang w:eastAsia="ru-RU"/>
        </w:rPr>
      </w:pPr>
      <w:r>
        <w:rPr/>
        <w:t xml:space="preserve">аплодисменты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Задания открытого типа:</w:t>
      </w:r>
    </w:p>
    <w:p>
      <w:pPr>
        <w:pStyle w:val="Normal"/>
        <w:numPr>
          <w:ilvl w:val="0"/>
          <w:numId w:val="6"/>
        </w:numPr>
        <w:tabs>
          <w:tab w:val="clear" w:pos="720"/>
          <w:tab w:val="right" w:pos="9355" w:leader="none"/>
        </w:tabs>
        <w:spacing w:lineRule="auto" w:line="240" w:before="0" w:after="0"/>
        <w:rPr/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Абсолютная </w:t>
      </w:r>
      <w:r>
        <w:rPr>
          <w:sz w:val="24"/>
        </w:rPr>
        <w:t xml:space="preserve">погрешность — это разность между измеряемой величиной и </w:t>
      </w:r>
      <w:r>
        <w:rPr>
          <w:sz w:val="24"/>
          <w:u w:val="single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действительной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2263" w:leader="none"/>
        </w:tabs>
        <w:spacing w:lineRule="auto" w:line="240" w:before="0" w:after="0"/>
        <w:rPr/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Стандарт </w:t>
      </w:r>
      <w:r>
        <w:rPr>
          <w:sz w:val="24"/>
        </w:rPr>
        <w:t xml:space="preserve">подразделяют в зависимости от требований к объектам стандартизации на </w:t>
      </w:r>
      <w:r>
        <w:rPr>
          <w:sz w:val="24"/>
          <w:u w:val="single"/>
        </w:rPr>
        <w:tab/>
      </w:r>
      <w:r>
        <w:rPr>
          <w:sz w:val="24"/>
        </w:rPr>
        <w:t>, отраслевой и республиканский.</w:t>
        <w:tab/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государственный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2950" w:leader="none"/>
        </w:tabs>
        <w:spacing w:lineRule="auto" w:line="240" w:before="0" w:after="0"/>
        <w:rPr/>
      </w:pPr>
      <w:r>
        <w:rPr>
          <w:rFonts w:eastAsia="Times New Roman" w:cs="Times New Roman"/>
          <w:color w:val="181818"/>
          <w:szCs w:val="24"/>
          <w:lang w:eastAsia="ru-RU"/>
        </w:rPr>
        <w:t xml:space="preserve">В приборах, выполненных по электродинамической схеме, присутствуют две обмотки — </w:t>
      </w:r>
      <w:r>
        <w:rPr>
          <w:rFonts w:eastAsia="Times New Roman" w:cs="Times New Roman"/>
          <w:color w:val="181818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 подвижная и неподвижная</w:t>
      </w:r>
      <w:r>
        <w:rPr>
          <w:rFonts w:eastAsia="Times New Roman" w:cs="Times New Roman"/>
          <w:color w:val="181818"/>
          <w:szCs w:val="24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6175" w:leader="none"/>
        </w:tabs>
        <w:spacing w:lineRule="auto" w:line="240" w:before="0" w:after="0"/>
        <w:rPr/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З</w:t>
      </w:r>
      <w:r>
        <w:rPr>
          <w:sz w:val="24"/>
        </w:rPr>
        <w:t xml:space="preserve">аявка на разработку стандарта подается в 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технический комитет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2613" w:leader="none"/>
          <w:tab w:val="left" w:pos="4475" w:leader="none"/>
        </w:tabs>
        <w:spacing w:lineRule="auto" w:line="240" w:before="0" w:after="0"/>
        <w:rPr/>
      </w:pPr>
      <w:r>
        <w:rPr>
          <w:rFonts w:eastAsia="Times New Roman"/>
          <w:color w:val="181818"/>
          <w:szCs w:val="24"/>
          <w:lang w:eastAsia="ru-RU"/>
        </w:rPr>
        <w:t xml:space="preserve">Министерства, являющиеся головными по видам выпускаемой продукции, выпускают (вид стандарта) </w:t>
      </w:r>
      <w:r>
        <w:rPr>
          <w:rFonts w:eastAsia="Times New Roman"/>
          <w:color w:val="181818"/>
          <w:szCs w:val="24"/>
          <w:u w:val="single"/>
          <w:lang w:eastAsia="ru-RU"/>
        </w:rPr>
        <w:tab/>
      </w:r>
      <w:r>
        <w:rPr>
          <w:rFonts w:eastAsia="Times New Roman"/>
          <w:color w:val="181818"/>
          <w:szCs w:val="24"/>
          <w:lang w:eastAsia="ru-RU"/>
        </w:rPr>
        <w:t xml:space="preserve"> .</w:t>
        <w:tab/>
      </w:r>
      <w:r>
        <w:rPr>
          <w:rFonts w:eastAsia="Times New Roman"/>
          <w:szCs w:val="24"/>
          <w:lang w:eastAsia="ru-RU"/>
        </w:rPr>
        <w:br/>
      </w:r>
      <w:r>
        <w:rPr>
          <w:rFonts w:eastAsia="Times New Roman"/>
          <w:szCs w:val="24"/>
          <w:u w:val="single"/>
          <w:lang w:eastAsia="ru-RU"/>
        </w:rPr>
        <w:t>Ответ</w:t>
      </w:r>
      <w:r>
        <w:rPr>
          <w:rFonts w:eastAsia="Times New Roman"/>
          <w:szCs w:val="24"/>
          <w:lang w:eastAsia="ru-RU"/>
        </w:rPr>
        <w:t>:</w:t>
      </w:r>
      <w:r>
        <w:rPr>
          <w:rFonts w:eastAsia="Times New Roman"/>
          <w:color w:val="181818"/>
          <w:szCs w:val="24"/>
          <w:lang w:eastAsia="ru-RU"/>
        </w:rPr>
        <w:t xml:space="preserve"> ОСТ</w:t>
      </w:r>
      <w:r>
        <w:rPr>
          <w:rFonts w:eastAsia="Times New Roman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ПК-</w:t>
      </w:r>
      <w:r>
        <w:rPr>
          <w:rFonts w:cs="Times New Roman"/>
          <w:sz w:val="24"/>
          <w:lang w:val="en-US"/>
        </w:rPr>
        <w:t>2</w:t>
      </w:r>
      <w:r>
        <w:rPr>
          <w:rFonts w:cs="Times New Roman"/>
          <w:sz w:val="24"/>
        </w:rPr>
        <w:t xml:space="preserve">.1. 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>Проектирует, разрабатывает и рассчитывает технологическую оснастку и электроды инструменты с использованием современных информационных технологий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>Задания закрытого типа:</w:t>
      </w:r>
    </w:p>
    <w:p>
      <w:pPr>
        <w:pStyle w:val="Normal"/>
        <w:numPr>
          <w:ilvl w:val="0"/>
          <w:numId w:val="15"/>
        </w:numPr>
        <w:spacing w:lineRule="auto" w:line="240" w:before="0" w:after="0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>Масштабом уменьшения является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  <w:t>2:5</w:t>
        <w:tab/>
        <w:t xml:space="preserve">(Правильный ответ) 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  <w:t>2:1:3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  <w:t>1:1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  <w:t xml:space="preserve">4:3:2 </w:t>
      </w:r>
    </w:p>
    <w:p>
      <w:pPr>
        <w:pStyle w:val="Normal"/>
        <w:numPr>
          <w:ilvl w:val="0"/>
          <w:numId w:val="5"/>
        </w:numPr>
        <w:tabs>
          <w:tab w:val="clear" w:pos="720"/>
          <w:tab w:val="right" w:pos="9355" w:leader="none"/>
        </w:tabs>
        <w:spacing w:lineRule="auto" w:line="240" w:before="0" w:after="0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Технический рисунок — это условное изображение, выполненное с помощью 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u w:val="single"/>
          <w:lang w:val="ru-RU" w:eastAsia="en-US" w:bidi="ar-SA"/>
        </w:rPr>
        <w:tab/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>.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  <w:t>Adobe Photoshop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  <w:t>CorelDraw компьютера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  <w:t xml:space="preserve">от руки 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  <w:t>чертежного инструмента</w:t>
        <w:tab/>
        <w:t xml:space="preserve">(Правильный ответ) 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6063" w:leader="none"/>
        </w:tabs>
        <w:spacing w:lineRule="auto" w:line="240" w:before="0" w:after="0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Сплошной волнистой линией обозначают 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u w:val="single"/>
          <w:lang w:val="ru-RU" w:eastAsia="en-US" w:bidi="ar-SA"/>
        </w:rPr>
        <w:tab/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>.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  <w:t>тип линии не применяется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  <w:t>линии сгиба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  <w:t>линии обрыва</w:t>
        <w:tab/>
        <w:t>(Правильный ответ)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  <w:t>линии видимого контура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Толщина линии видимого контура составляет 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u w:val="single"/>
          <w:lang w:val="ru-RU" w:eastAsia="en-US" w:bidi="ar-SA"/>
        </w:rPr>
        <w:tab/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>.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  <w:t>зависит от масштаба чертежа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  <w:t>0,5-1,0 мм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  <w:t>1,0-1,5 мм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  <w:t>0,5-1,4 мм</w:t>
        <w:tab/>
        <w:t>(Правильный ответ)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>Размеры на чертежах проставляют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  <w:t>в дюймах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  <w:t>в миллиметрах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  <w:t>в удобных единицах измерения с их обязательным указанием</w:t>
        <w:tab/>
        <w:t xml:space="preserve">(Правильный ответ) </w:t>
      </w:r>
    </w:p>
    <w:p>
      <w:pPr>
        <w:pStyle w:val="ListParagraph"/>
        <w:numPr>
          <w:ilvl w:val="1"/>
          <w:numId w:val="5"/>
        </w:numPr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/>
        <w:t xml:space="preserve">только в метрах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>Задания открытого типа:</w:t>
      </w:r>
    </w:p>
    <w:p>
      <w:pPr>
        <w:pStyle w:val="Normal"/>
        <w:numPr>
          <w:ilvl w:val="0"/>
          <w:numId w:val="16"/>
        </w:numPr>
        <w:tabs>
          <w:tab w:val="clear" w:pos="720"/>
          <w:tab w:val="left" w:pos="8388" w:leader="none"/>
        </w:tabs>
        <w:spacing w:lineRule="auto" w:line="240" w:before="0" w:after="0"/>
        <w:ind w:left="714" w:hanging="357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При соединении части вида и части разреза границей является 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u w:val="single"/>
          <w:lang w:val="ru-RU" w:eastAsia="en-US" w:bidi="ar-SA"/>
        </w:rPr>
        <w:tab/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>.</w:t>
        <w:br/>
      </w:r>
      <w:r>
        <w:rPr>
          <w:rFonts w:eastAsia="Calibri" w:cs="Times New Roman" w:eastAsiaTheme="minorHAnsi"/>
          <w:color w:val="auto"/>
          <w:kern w:val="0"/>
          <w:sz w:val="24"/>
          <w:szCs w:val="24"/>
          <w:u w:val="single"/>
          <w:lang w:val="ru-RU" w:eastAsia="en-US" w:bidi="ar-SA"/>
        </w:rPr>
        <w:t>Ответ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>: ось симметрии.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5213" w:leader="none"/>
          <w:tab w:val="left" w:pos="8338" w:leader="none"/>
        </w:tabs>
        <w:spacing w:lineRule="auto" w:line="240" w:before="0" w:after="0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Обычно чертёж включает в себя комбинацию трёх изображений: 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u w:val="single"/>
          <w:lang w:val="ru-RU" w:eastAsia="en-US" w:bidi="ar-SA"/>
        </w:rPr>
        <w:tab/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>.</w:t>
        <w:br/>
      </w:r>
      <w:r>
        <w:rPr>
          <w:rFonts w:eastAsia="Calibri" w:cs="Times New Roman" w:eastAsiaTheme="minorHAnsi"/>
          <w:color w:val="auto"/>
          <w:kern w:val="0"/>
          <w:sz w:val="24"/>
          <w:szCs w:val="24"/>
          <w:u w:val="single"/>
          <w:lang w:val="ru-RU" w:eastAsia="en-US" w:bidi="ar-SA"/>
        </w:rPr>
        <w:t>Ответ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>: спереди, сверху и слева.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>Верно ли, что виды на чертеже можно располагать в том порядке, в котором нравится?</w:t>
        <w:br/>
      </w:r>
      <w:r>
        <w:rPr>
          <w:rFonts w:eastAsia="Calibri" w:cs="Times New Roman" w:eastAsiaTheme="minorHAnsi"/>
          <w:color w:val="auto"/>
          <w:kern w:val="0"/>
          <w:sz w:val="24"/>
          <w:szCs w:val="24"/>
          <w:u w:val="single"/>
          <w:lang w:val="ru-RU" w:eastAsia="en-US" w:bidi="ar-SA"/>
        </w:rPr>
        <w:t>Ответ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>: нет.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1650" w:leader="none"/>
        </w:tabs>
        <w:spacing w:lineRule="auto" w:line="240" w:before="0" w:after="0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u w:val="single"/>
          <w:lang w:val="ru-RU" w:eastAsia="en-US" w:bidi="ar-SA"/>
        </w:rPr>
        <w:tab/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 применяются для обозначения линий видимого контура.</w:t>
        <w:tab/>
        <w:br/>
      </w:r>
      <w:r>
        <w:rPr>
          <w:rFonts w:eastAsia="Calibri" w:cs="Times New Roman" w:eastAsiaTheme="minorHAnsi"/>
          <w:color w:val="auto"/>
          <w:kern w:val="0"/>
          <w:sz w:val="24"/>
          <w:szCs w:val="24"/>
          <w:u w:val="single"/>
          <w:lang w:val="ru-RU" w:eastAsia="en-US" w:bidi="ar-SA"/>
        </w:rPr>
        <w:t>Ответ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>: основные линии.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1525" w:leader="none"/>
        </w:tabs>
        <w:spacing w:lineRule="auto" w:line="240" w:before="0" w:after="0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Наклонные параллельные линии штриховки должны проводиться под углом 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u w:val="single"/>
          <w:lang w:val="ru-RU" w:eastAsia="en-US" w:bidi="ar-SA"/>
        </w:rPr>
        <w:tab/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 xml:space="preserve"> к линии контура изображения, или к его оси, или к линиям рамки чертежа.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u w:val="single"/>
          <w:lang w:val="ru-RU" w:eastAsia="en-US" w:bidi="ar-SA"/>
        </w:rPr>
        <w:br/>
        <w:t>Ответ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>: 45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vertAlign w:val="superscript"/>
          <w:lang w:val="ru-RU" w:eastAsia="en-US" w:bidi="ar-SA"/>
        </w:rPr>
        <w:t>о</w:t>
      </w:r>
      <w:r>
        <w:rPr>
          <w:rFonts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  <w:t>.</w:t>
      </w:r>
    </w:p>
    <w:p>
      <w:pPr>
        <w:pStyle w:val="ListParagraph"/>
        <w:spacing w:lineRule="auto" w:line="240" w:before="0" w:after="0"/>
        <w:contextualSpacing w:val="false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  <w:t>ПК-2.2. Разрабатывает и согласовывает документацию для технологической оснастки и электродов – инструментов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  <w:t>Задания закрытого типа: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6663" w:leader="none"/>
        </w:tabs>
        <w:spacing w:before="0" w:after="0"/>
        <w:rPr>
          <w:rFonts w:eastAsia="Times New Roman" w:cs="Times New Roman"/>
          <w:szCs w:val="24"/>
          <w:lang w:eastAsia="ru-RU"/>
        </w:rPr>
      </w:pPr>
      <w:r>
        <w:rPr/>
        <w:t xml:space="preserve">В раздел общие положения документа не входят </w:t>
      </w:r>
      <w:r>
        <w:rPr>
          <w:u w:val="single"/>
        </w:rPr>
        <w:tab/>
      </w:r>
      <w:r>
        <w:rPr/>
        <w:t>.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конкретные обязанности</w:t>
        <w:tab/>
        <w:t>(Правильный ответ)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 xml:space="preserve">цели 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 xml:space="preserve">задачи </w:t>
      </w:r>
    </w:p>
    <w:p>
      <w:pPr>
        <w:pStyle w:val="ListParagraph"/>
        <w:numPr>
          <w:ilvl w:val="0"/>
          <w:numId w:val="7"/>
        </w:numPr>
        <w:tabs>
          <w:tab w:val="clear" w:pos="9354"/>
          <w:tab w:val="left" w:pos="8364" w:leader="none"/>
        </w:tabs>
        <w:suppressAutoHyphens w:val="false"/>
        <w:spacing w:lineRule="auto" w:line="240" w:before="0" w:after="0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/>
        <w:t xml:space="preserve">Наименование вида документа, на котором не ставится реквизит – </w:t>
      </w:r>
      <w:r>
        <w:rPr>
          <w:u w:val="single"/>
        </w:rPr>
        <w:tab/>
      </w:r>
      <w:r>
        <w:rPr/>
        <w:t>.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устав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должностная инструкция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 xml:space="preserve">справка 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письмо</w:t>
        <w:tab/>
        <w:t>(Правильный ответ)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6946" w:leader="none"/>
        </w:tabs>
        <w:spacing w:before="0" w:after="0"/>
        <w:rPr>
          <w:rFonts w:eastAsia="Times New Roman" w:cs="Times New Roman"/>
          <w:szCs w:val="24"/>
          <w:lang w:eastAsia="ru-RU"/>
        </w:rPr>
      </w:pPr>
      <w:r>
        <w:rPr/>
        <w:t xml:space="preserve">Последним этапом работы с документами называется </w:t>
      </w:r>
      <w:r>
        <w:rPr>
          <w:u w:val="single"/>
        </w:rPr>
        <w:tab/>
      </w:r>
      <w:r>
        <w:rPr/>
        <w:t>.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сдачей в музей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опубликованием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сдачей в архив</w:t>
        <w:tab/>
        <w:t>(Правильный ответ)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редактурой</w:t>
      </w:r>
    </w:p>
    <w:p>
      <w:pPr>
        <w:pStyle w:val="Normal"/>
        <w:numPr>
          <w:ilvl w:val="0"/>
          <w:numId w:val="7"/>
        </w:numPr>
        <w:spacing w:before="0" w:after="0"/>
        <w:rPr>
          <w:rFonts w:eastAsia="Times New Roman" w:cs="Times New Roman"/>
          <w:szCs w:val="24"/>
          <w:lang w:eastAsia="ru-RU"/>
        </w:rPr>
      </w:pPr>
      <w:r>
        <w:rPr/>
        <w:t>Порядок образования, структура и организация работы предприятия определяются в следующем организационном документе.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ознакомительная брошюра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положение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инструкция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устав</w:t>
        <w:tab/>
        <w:t>(Правильный ответ)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6096" w:leader="none"/>
        </w:tabs>
        <w:spacing w:before="0" w:after="0"/>
        <w:rPr>
          <w:rFonts w:eastAsia="Times New Roman" w:cs="Times New Roman"/>
          <w:szCs w:val="24"/>
          <w:lang w:eastAsia="ru-RU"/>
        </w:rPr>
      </w:pPr>
      <w:r>
        <w:rPr/>
        <w:t xml:space="preserve">К внутреннему документообороту относят </w:t>
      </w:r>
      <w:r>
        <w:rPr>
          <w:u w:val="single"/>
        </w:rPr>
        <w:tab/>
      </w:r>
      <w:r>
        <w:rPr/>
        <w:t>.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справки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официальные письма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>приказы, распоряжения организации</w:t>
      </w:r>
      <w:r>
        <w:rPr>
          <w:rFonts w:eastAsia="Times New Roman" w:cs="Times New Roman"/>
          <w:szCs w:val="24"/>
          <w:lang w:eastAsia="ru-RU"/>
        </w:rPr>
        <w:tab/>
        <w:t xml:space="preserve">(Правильный ответ) </w:t>
      </w:r>
    </w:p>
    <w:p>
      <w:pPr>
        <w:pStyle w:val="ListParagraph"/>
        <w:numPr>
          <w:ilvl w:val="1"/>
          <w:numId w:val="7"/>
        </w:numPr>
        <w:rPr>
          <w:rFonts w:eastAsia="Times New Roman" w:cs="Times New Roman"/>
          <w:szCs w:val="24"/>
          <w:lang w:eastAsia="ru-RU"/>
        </w:rPr>
      </w:pPr>
      <w:r>
        <w:rPr/>
        <w:t xml:space="preserve">внешние докладные записки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Задания открытого типа:</w:t>
      </w:r>
    </w:p>
    <w:p>
      <w:pPr>
        <w:pStyle w:val="Normal"/>
        <w:numPr>
          <w:ilvl w:val="0"/>
          <w:numId w:val="8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 xml:space="preserve"> вступает в силу с момента подписания или доведения до сведения исполнителя.</w:t>
        <w:br/>
        <w:t>Ответ: Распорядительный документ.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Осуществляется ли текущий контроль исключительно в начале исполнения документов?</w:t>
        <w:br/>
        <w:t>Ответ: нет.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1700" w:leader="none"/>
        </w:tabs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 xml:space="preserve"> записка составляется при нарушении трудовой или общественной дисциплины.</w:t>
        <w:br/>
        <w:t>Ответ: Объяснительная.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1700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 xml:space="preserve"> – это совокупность документов, связанных между собой.</w:t>
        <w:br/>
        <w:t>Ответ: Документооборот.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1988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 xml:space="preserve"> – это документ, регламентирующий деятельность сотрудников организации.</w:t>
        <w:br/>
        <w:t>Ответ: Должностная инструкция.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ПК-2.3. Изучает научно-техническую информацию и разрабатывает предложения по внедрению новых технологий производства с использованием ЭХФМО, технологической оснастки и электродов – инструментов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Задания закрытого типа: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8364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Достоверную научно-техническую информацию следует искать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11"/>
        </w:numPr>
        <w:rPr/>
      </w:pPr>
      <w:r>
        <w:rPr>
          <w:sz w:val="24"/>
          <w:szCs w:val="24"/>
        </w:rPr>
        <w:t>в сборниках научных работ</w:t>
        <w:tab/>
        <w:t>(</w:t>
      </w:r>
      <w:r>
        <w:rPr>
          <w:rFonts w:eastAsia="Times New Roman" w:cs="Times New Roman"/>
          <w:sz w:val="24"/>
          <w:szCs w:val="24"/>
          <w:lang w:eastAsia="ru-RU"/>
        </w:rPr>
        <w:t>Правильный ответ)</w:t>
      </w:r>
    </w:p>
    <w:p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/>
        <w:t xml:space="preserve">в популярных блогах </w:t>
      </w:r>
    </w:p>
    <w:p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/>
        <w:t xml:space="preserve">в биографии учёных 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7513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Авторитет научного журнала может повыситься за счёт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/>
        <w:t xml:space="preserve">красивого оформления </w:t>
      </w:r>
    </w:p>
    <w:p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/>
        <w:t xml:space="preserve">литературного стиля </w:t>
      </w:r>
    </w:p>
    <w:p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/>
        <w:t>авторитета и научных рейтингов издательства</w:t>
      </w:r>
    </w:p>
    <w:p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/>
        <w:t>рекламной кампании</w:t>
        <w:tab/>
        <w:t>(Правильный ответ)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Если читатель знаком с предметной областью, но не имеет в ней глубоких знаний, ему стоит изучить</w:t>
      </w:r>
    </w:p>
    <w:p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/>
        <w:t xml:space="preserve">Сайт общества плоской Земли </w:t>
      </w:r>
    </w:p>
    <w:p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/>
        <w:t xml:space="preserve">научно-популярные каналы в Дзене </w:t>
      </w:r>
    </w:p>
    <w:p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статьи в рецензируемых журналах</w:t>
        <w:tab/>
      </w:r>
      <w:r>
        <w:rPr>
          <w:rFonts w:eastAsia="Times New Roman" w:cs="Times New Roman"/>
          <w:sz w:val="24"/>
          <w:szCs w:val="24"/>
          <w:lang w:eastAsia="ru-RU"/>
        </w:rPr>
        <w:t>(Правильный ответ)</w:t>
      </w:r>
    </w:p>
    <w:p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Википедию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Если проводится качественный обзор какой-либо известной научной темы, может ли он содержать небольшое число статей в списке литературы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?</w:t>
      </w:r>
    </w:p>
    <w:p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может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может, только если источник является авторитетным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на усмотрение читающего эксперта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не может</w:t>
        <w:tab/>
      </w:r>
      <w:r>
        <w:rPr>
          <w:rFonts w:eastAsia="Times New Roman" w:cs="Times New Roman"/>
          <w:sz w:val="24"/>
          <w:szCs w:val="24"/>
          <w:lang w:eastAsia="ru-RU"/>
        </w:rPr>
        <w:t>(Правильный ответ)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2552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При поиске актуальной научной информации в интернете наименее надёжным источником является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</w:p>
    <w:p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/>
        <w:t>сайт Роспатента</w:t>
      </w:r>
    </w:p>
    <w:p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сайт </w:t>
      </w:r>
      <w:r>
        <w:rPr>
          <w:rFonts w:eastAsia="Times New Roman" w:cs="Times New Roman"/>
          <w:sz w:val="24"/>
          <w:szCs w:val="24"/>
          <w:lang w:val="en-US" w:eastAsia="ru-RU"/>
        </w:rPr>
        <w:t>Scopus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сайт </w:t>
      </w:r>
      <w:r>
        <w:rPr>
          <w:rFonts w:eastAsia="Times New Roman" w:cs="Times New Roman"/>
          <w:color w:val="181818"/>
          <w:sz w:val="24"/>
          <w:szCs w:val="24"/>
          <w:lang w:val="en-US" w:eastAsia="ru-RU"/>
        </w:rPr>
        <w:t>StudFiles</w:t>
        <w:tab/>
      </w:r>
      <w:r>
        <w:rPr>
          <w:rFonts w:eastAsia="Times New Roman" w:cs="Times New Roman"/>
          <w:sz w:val="24"/>
          <w:szCs w:val="24"/>
          <w:lang w:eastAsia="ru-RU"/>
        </w:rPr>
        <w:t>(Правильный ответ)</w:t>
      </w:r>
    </w:p>
    <w:p>
      <w:pPr>
        <w:pStyle w:val="ListParagraph"/>
        <w:numPr>
          <w:ilvl w:val="1"/>
          <w:numId w:val="11"/>
        </w:num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сайт </w:t>
      </w:r>
      <w:r>
        <w:rPr>
          <w:rFonts w:eastAsia="Times New Roman" w:cs="Times New Roman"/>
          <w:sz w:val="24"/>
          <w:szCs w:val="24"/>
          <w:lang w:val="en-US" w:eastAsia="ru-RU"/>
        </w:rPr>
        <w:t>eLibrary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Задания открытого типа:</w:t>
      </w:r>
    </w:p>
    <w:p>
      <w:pPr>
        <w:pStyle w:val="Normal"/>
        <w:numPr>
          <w:ilvl w:val="0"/>
          <w:numId w:val="12"/>
        </w:numPr>
        <w:tabs>
          <w:tab w:val="clear" w:pos="720"/>
          <w:tab w:val="left" w:pos="1650" w:leader="none"/>
        </w:tabs>
        <w:ind w:left="720" w:right="0" w:hanging="36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слова позволяют понять тематику научной статьи без её прочтения.</w:t>
        <w:br/>
        <w:t>Ответ: Ключевые</w:t>
      </w:r>
    </w:p>
    <w:p>
      <w:pPr>
        <w:pStyle w:val="Normal"/>
        <w:numPr>
          <w:ilvl w:val="0"/>
          <w:numId w:val="12"/>
        </w:numPr>
        <w:tabs/>
        <w:ind w:left="720" w:right="0" w:hanging="363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Статьи, не соответствующие по содержанию научной картине мира, но имитирующие научный подход к проблеме называются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.</w:t>
        <w:br/>
        <w:t>Ответ: псевдонаучными.</w:t>
      </w:r>
    </w:p>
    <w:p>
      <w:pPr>
        <w:pStyle w:val="ListParagraph"/>
        <w:numPr>
          <w:ilvl w:val="0"/>
          <w:numId w:val="12"/>
        </w:numPr>
        <w:suppressAutoHyphens w:val="false"/>
        <w:spacing w:lineRule="auto" w:line="240" w:before="0" w:after="0"/>
        <w:ind w:left="714" w:hanging="357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 ли утверждение? При рецензировании научных статей редакцией научных журналов может заниматься любой человек, знающий орфографию и пунктуацию.</w:t>
        <w:br/>
        <w:t>Ответ: Нет</w:t>
      </w:r>
    </w:p>
    <w:p>
      <w:pPr>
        <w:pStyle w:val="ListParagraph"/>
        <w:numPr>
          <w:ilvl w:val="0"/>
          <w:numId w:val="12"/>
        </w:numPr>
        <w:tabs>
          <w:tab w:val="clear" w:pos="9354"/>
          <w:tab w:val="left" w:pos="2127" w:leader="none"/>
        </w:tabs>
        <w:suppressAutoHyphens w:val="false"/>
        <w:spacing w:lineRule="auto" w:line="240" w:before="0" w:after="0"/>
        <w:ind w:left="714" w:hanging="357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до публикации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убедиться в точности и достоверности изложения и в необходимых случаях добиться от автора следования стандартам, принятым в конкретной области или науке в целом.</w:t>
        <w:tab/>
        <w:br/>
        <w:t>Ответ: рецензирования.</w:t>
      </w:r>
    </w:p>
    <w:p>
      <w:pPr>
        <w:pStyle w:val="ListParagraph"/>
        <w:numPr>
          <w:ilvl w:val="0"/>
          <w:numId w:val="12"/>
        </w:numPr>
        <w:tabs>
          <w:tab w:val="clear" w:pos="9354"/>
          <w:tab w:val="left" w:pos="5618" w:leader="none"/>
        </w:tabs>
        <w:suppressAutoHyphens w:val="false"/>
        <w:spacing w:lineRule="auto" w:line="240" w:before="0" w:after="0"/>
        <w:ind w:left="714" w:hanging="357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позволяет узнать больше о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статьи.</w:t>
        <w:tab/>
        <w:br/>
        <w:t>Ответ: содержании.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variable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kern w:val="0"/>
        <w:rFonts w:ascii="Times New Roman" w:hAnsi="Times New Roman" w:cs="" w:cstheme="minorBidi"/>
        <w:color w:val="auto"/>
        <w:lang w:val="ru-RU" w:bidi="ar-SA"/>
      </w:rPr>
    </w:lvl>
    <w:lvl w:ilvl="1">
      <w:start w:val="1"/>
      <w:numFmt w:val="russianLow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russianLow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russianLow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russianLow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russianLow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5"/>
    <w:lvlOverride w:ilvl="0">
      <w:startOverride w:val="1"/>
    </w:lvlOverride>
  </w:num>
  <w:num w:numId="16">
    <w:abstractNumId w:val="6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27c5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552b88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552b8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rong">
    <w:name w:val="Strong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Hgkelc">
    <w:name w:val="hgkelc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1">
    <w:name w:val="c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Extendedtextshort">
    <w:name w:val="extendedtext-shor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3">
    <w:name w:val="c3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Markedcontent">
    <w:name w:val="markedconten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2">
    <w:name w:val="c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3">
    <w:name w:val="Основной текст Знак"/>
    <w:qFormat/>
    <w:rPr>
      <w:rFonts w:ascii="Times New Roman" w:hAnsi="Times New Roman" w:eastAsia="0" w:cs="Times New Roman"/>
      <w:color w:val="000000"/>
      <w:sz w:val="24"/>
      <w:szCs w:val="24"/>
      <w:lang w:eastAsia="zh-CN"/>
    </w:rPr>
  </w:style>
  <w:style w:type="character" w:styleId="Style14">
    <w:name w:val="Текст выноски Знак"/>
    <w:qFormat/>
    <w:rPr>
      <w:rFonts w:ascii="Tahoma" w:hAnsi="Tahoma" w:eastAsia="Times New Roman" w:cs="Tahoma"/>
      <w:color w:val="000000"/>
      <w:sz w:val="16"/>
      <w:szCs w:val="16"/>
    </w:rPr>
  </w:style>
  <w:style w:type="character" w:styleId="Hl">
    <w:name w:val="hl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Mangal"/>
      <w:sz w:val="24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Mangal"/>
      <w:sz w:val="24"/>
    </w:rPr>
  </w:style>
  <w:style w:type="paragraph" w:styleId="ListParagraph">
    <w:name w:val="List Paragraph"/>
    <w:basedOn w:val="Normal"/>
    <w:uiPriority w:val="34"/>
    <w:qFormat/>
    <w:rsid w:val="00552b88"/>
    <w:pPr>
      <w:tabs>
        <w:tab w:val="clear" w:pos="720"/>
        <w:tab w:val="right" w:pos="9354" w:leader="dot"/>
      </w:tabs>
      <w:spacing w:before="0" w:after="0"/>
      <w:ind w:left="720" w:hanging="0"/>
      <w:contextualSpacing/>
    </w:pPr>
    <w:rPr>
      <w:rFonts w:ascii="Times New Roman" w:hAnsi="Times New Roman" w:eastAsia="Calibri" w:cs="Times New Roman"/>
    </w:rPr>
  </w:style>
  <w:style w:type="paragraph" w:styleId="Default" w:customStyle="1">
    <w:name w:val="Default"/>
    <w:qFormat/>
    <w:rsid w:val="008c16d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Western">
    <w:name w:val="western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P29">
    <w:name w:val="p29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P30">
    <w:name w:val="p30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Listparagraph1">
    <w:name w:val="listparagraph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Formattext">
    <w:name w:val="formattext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2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beforeAutospacing="1" w:after="142"/>
    </w:pPr>
    <w:rPr>
      <w:rFonts w:eastAsia="Times New Roman" w:cs="Times New Roman"/>
      <w:szCs w:val="24"/>
      <w:lang w:eastAsia="ru-RU"/>
    </w:rPr>
  </w:style>
  <w:style w:type="paragraph" w:styleId="Indexheading">
    <w:name w:val="index heading"/>
    <w:basedOn w:val="Normal"/>
    <w:qFormat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iCs/>
      <w:szCs w:val="24"/>
    </w:rPr>
  </w:style>
  <w:style w:type="paragraph" w:styleId="Style21">
    <w:name w:val="Горизонтальная линия"/>
    <w:basedOn w:val="Normal"/>
    <w:next w:val="Style17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1F328-0B1C-482E-B282-5708D4A7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Application>LibreOffice/7.4.7.2$Windows_x86 LibreOffice_project/723314e595e8007d3cf785c16538505a1c878ca5</Application>
  <AppVersion>15.0000</AppVersion>
  <Pages>9</Pages>
  <Words>2454</Words>
  <Characters>18499</Characters>
  <CharactersWithSpaces>20622</CharactersWithSpaces>
  <Paragraphs>245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2022-11-22T12:23:00Z</dcterms:created>
  <dc:creator>Алексей</dc:creator>
  <dc:description/>
  <dc:language>ru-RU</dc:language>
  <cp:lastModifiedBy/>
  <dcterms:modified xsi:type="dcterms:W3CDTF">2023-07-05T15:09:24Z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