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063" w:rsidRDefault="00F651F4">
      <w:pPr>
        <w:suppressAutoHyphens/>
        <w:spacing w:before="222" w:after="222"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МИНИСТЕРСТВО НАУКИ И ВЫСШЕГО ОБРАЗОВАНИЯ РОССИЙСКОЙ ФЕДЕРАЦИИ</w:t>
      </w:r>
    </w:p>
    <w:p w:rsidR="00640063" w:rsidRDefault="00640063">
      <w:pPr>
        <w:spacing w:after="0" w:line="240" w:lineRule="auto"/>
        <w:ind w:firstLine="567"/>
        <w:jc w:val="center"/>
        <w:rPr>
          <w:rFonts w:ascii="Times New Roman" w:eastAsia="Times New Roman" w:hAnsi="Times New Roman" w:cs="Times New Roman"/>
          <w:b/>
          <w:sz w:val="28"/>
        </w:rPr>
      </w:pPr>
    </w:p>
    <w:p w:rsidR="00640063" w:rsidRDefault="00F651F4">
      <w:pPr>
        <w:spacing w:after="0" w:line="36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РЯЗАНСКИЙ ГОСУДАРСТВЕННЫЙ РАДИОТЕХНИЧЕСКИЙ УНИВЕРСИТЕТ им. В.Ф. УТКИНА</w:t>
      </w: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F651F4">
      <w:pPr>
        <w:spacing w:after="0" w:line="240" w:lineRule="auto"/>
        <w:ind w:firstLine="567"/>
        <w:jc w:val="center"/>
        <w:rPr>
          <w:rFonts w:ascii="Times New Roman" w:eastAsia="Times New Roman" w:hAnsi="Times New Roman" w:cs="Times New Roman"/>
          <w:color w:val="FF0000"/>
          <w:sz w:val="24"/>
          <w:shd w:val="clear" w:color="auto" w:fill="FFFFFF"/>
        </w:rPr>
      </w:pPr>
      <w:r>
        <w:rPr>
          <w:rFonts w:ascii="Times New Roman" w:eastAsia="Times New Roman" w:hAnsi="Times New Roman" w:cs="Times New Roman"/>
          <w:sz w:val="28"/>
          <w:shd w:val="clear" w:color="auto" w:fill="FFFFFF"/>
        </w:rPr>
        <w:t>Кафедра «Информационно-измерительная и биомедицинская техника»</w:t>
      </w: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F651F4">
      <w:pPr>
        <w:spacing w:after="0" w:line="240" w:lineRule="auto"/>
        <w:ind w:firstLine="567"/>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МЕТОДИЧЕСКОЕ ОБЕСПЕЧЕНИЕ ДИСЦИПЛИНЫ</w:t>
      </w: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F651F4">
      <w:pPr>
        <w:spacing w:after="0" w:line="240" w:lineRule="auto"/>
        <w:ind w:firstLine="567"/>
        <w:jc w:val="center"/>
        <w:rPr>
          <w:rFonts w:ascii="Times New Roman" w:eastAsia="Times New Roman" w:hAnsi="Times New Roman" w:cs="Times New Roman"/>
          <w:i/>
          <w:sz w:val="28"/>
        </w:rPr>
      </w:pPr>
      <w:r>
        <w:rPr>
          <w:rFonts w:ascii="Times New Roman" w:eastAsia="Times New Roman" w:hAnsi="Times New Roman" w:cs="Times New Roman"/>
          <w:b/>
          <w:i/>
          <w:sz w:val="40"/>
        </w:rPr>
        <w:t>ФТД.В.02</w:t>
      </w:r>
      <w:r>
        <w:rPr>
          <w:rFonts w:ascii="Times New Roman" w:eastAsia="Times New Roman" w:hAnsi="Times New Roman" w:cs="Times New Roman"/>
          <w:b/>
          <w:i/>
          <w:sz w:val="40"/>
        </w:rPr>
        <w:tab/>
        <w:t>«Теория вероятностей и математическая статистика»</w:t>
      </w: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F651F4" w:rsidRDefault="00F651F4">
      <w:pPr>
        <w:spacing w:after="0" w:line="240" w:lineRule="auto"/>
        <w:ind w:firstLine="567"/>
        <w:jc w:val="center"/>
        <w:rPr>
          <w:rFonts w:ascii="Times New Roman" w:eastAsia="Times New Roman" w:hAnsi="Times New Roman" w:cs="Times New Roman"/>
          <w:sz w:val="28"/>
        </w:rPr>
      </w:pPr>
    </w:p>
    <w:p w:rsidR="00F651F4" w:rsidRDefault="00F651F4">
      <w:pPr>
        <w:spacing w:after="0" w:line="240" w:lineRule="auto"/>
        <w:ind w:firstLine="567"/>
        <w:jc w:val="center"/>
        <w:rPr>
          <w:rFonts w:ascii="Times New Roman" w:eastAsia="Times New Roman" w:hAnsi="Times New Roman" w:cs="Times New Roman"/>
          <w:sz w:val="28"/>
        </w:rPr>
      </w:pPr>
    </w:p>
    <w:p w:rsidR="00F651F4" w:rsidRDefault="00F651F4">
      <w:pPr>
        <w:spacing w:after="0" w:line="240" w:lineRule="auto"/>
        <w:ind w:firstLine="567"/>
        <w:jc w:val="center"/>
        <w:rPr>
          <w:rFonts w:ascii="Times New Roman" w:eastAsia="Times New Roman" w:hAnsi="Times New Roman" w:cs="Times New Roman"/>
          <w:sz w:val="28"/>
        </w:rPr>
      </w:pPr>
    </w:p>
    <w:p w:rsidR="00F651F4" w:rsidRDefault="00F651F4">
      <w:pPr>
        <w:spacing w:after="0" w:line="240" w:lineRule="auto"/>
        <w:ind w:firstLine="567"/>
        <w:jc w:val="center"/>
        <w:rPr>
          <w:rFonts w:ascii="Times New Roman" w:eastAsia="Times New Roman" w:hAnsi="Times New Roman" w:cs="Times New Roman"/>
          <w:sz w:val="28"/>
        </w:rPr>
      </w:pPr>
    </w:p>
    <w:p w:rsidR="00640063" w:rsidRDefault="00640063">
      <w:pPr>
        <w:spacing w:after="0" w:line="240" w:lineRule="auto"/>
        <w:ind w:firstLine="567"/>
        <w:jc w:val="center"/>
        <w:rPr>
          <w:rFonts w:ascii="Times New Roman" w:eastAsia="Times New Roman" w:hAnsi="Times New Roman" w:cs="Times New Roman"/>
          <w:sz w:val="28"/>
        </w:rPr>
      </w:pPr>
    </w:p>
    <w:p w:rsidR="00640063" w:rsidRDefault="00F519C3">
      <w:pPr>
        <w:spacing w:after="0" w:line="240" w:lineRule="auto"/>
        <w:ind w:firstLine="567"/>
        <w:jc w:val="center"/>
        <w:rPr>
          <w:rFonts w:ascii="Times New Roman" w:eastAsia="Times New Roman" w:hAnsi="Times New Roman" w:cs="Times New Roman"/>
          <w:sz w:val="28"/>
        </w:rPr>
      </w:pPr>
      <w:r>
        <w:rPr>
          <w:rFonts w:ascii="Times New Roman" w:eastAsia="Times New Roman" w:hAnsi="Times New Roman" w:cs="Times New Roman"/>
          <w:sz w:val="28"/>
        </w:rPr>
        <w:t>Рязань</w:t>
      </w:r>
    </w:p>
    <w:p w:rsidR="00640063" w:rsidRDefault="00640063">
      <w:pPr>
        <w:spacing w:after="0" w:line="240" w:lineRule="auto"/>
        <w:ind w:firstLine="567"/>
        <w:jc w:val="center"/>
        <w:rPr>
          <w:rFonts w:ascii="Times New Roman" w:eastAsia="Times New Roman" w:hAnsi="Times New Roman" w:cs="Times New Roman"/>
          <w:b/>
          <w:sz w:val="28"/>
        </w:rPr>
      </w:pPr>
    </w:p>
    <w:p w:rsidR="00640063" w:rsidRDefault="00F651F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Методические рекомендации студентам</w:t>
      </w:r>
    </w:p>
    <w:p w:rsidR="00640063" w:rsidRDefault="00F651F4">
      <w:pPr>
        <w:spacing w:after="0" w:line="240" w:lineRule="auto"/>
        <w:ind w:firstLine="567"/>
        <w:jc w:val="center"/>
        <w:rPr>
          <w:rFonts w:ascii="Times New Roman" w:eastAsia="Times New Roman" w:hAnsi="Times New Roman" w:cs="Times New Roman"/>
          <w:b/>
          <w:sz w:val="28"/>
        </w:rPr>
      </w:pPr>
      <w:r>
        <w:rPr>
          <w:rFonts w:ascii="Times New Roman" w:eastAsia="Times New Roman" w:hAnsi="Times New Roman" w:cs="Times New Roman"/>
          <w:b/>
          <w:sz w:val="28"/>
        </w:rPr>
        <w:t>по освоению дисциплины</w:t>
      </w:r>
    </w:p>
    <w:p w:rsidR="00640063" w:rsidRDefault="00640063">
      <w:pPr>
        <w:spacing w:after="0" w:line="240" w:lineRule="auto"/>
        <w:ind w:firstLine="567"/>
        <w:rPr>
          <w:rFonts w:ascii="Times New Roman" w:eastAsia="Times New Roman" w:hAnsi="Times New Roman" w:cs="Times New Roman"/>
          <w:color w:val="000000"/>
          <w:sz w:val="28"/>
        </w:rPr>
      </w:pP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640063" w:rsidRDefault="00640063">
      <w:pPr>
        <w:spacing w:after="0" w:line="240" w:lineRule="auto"/>
        <w:ind w:firstLine="567"/>
        <w:jc w:val="center"/>
        <w:rPr>
          <w:rFonts w:ascii="Times New Roman" w:eastAsia="Times New Roman" w:hAnsi="Times New Roman" w:cs="Times New Roman"/>
          <w:b/>
          <w:color w:val="000000"/>
          <w:sz w:val="28"/>
        </w:rPr>
      </w:pP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над конспектом лекции</w:t>
      </w:r>
    </w:p>
    <w:p w:rsidR="00640063" w:rsidRDefault="00640063">
      <w:pPr>
        <w:spacing w:after="0" w:line="240" w:lineRule="auto"/>
        <w:ind w:firstLine="567"/>
        <w:jc w:val="center"/>
        <w:rPr>
          <w:rFonts w:ascii="Times New Roman" w:eastAsia="Times New Roman" w:hAnsi="Times New Roman" w:cs="Times New Roman"/>
          <w:color w:val="000000"/>
          <w:sz w:val="28"/>
        </w:rPr>
      </w:pP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Pr>
          <w:rFonts w:ascii="Times New Roman" w:eastAsia="Times New Roman" w:hAnsi="Times New Roman" w:cs="Times New Roman"/>
          <w:color w:val="000000"/>
          <w:sz w:val="28"/>
        </w:rPr>
        <w:lastRenderedPageBreak/>
        <w:t>материалом, который прозвучит на лекции, а также создаст необходимый психологический настрой.</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Pr>
          <w:rFonts w:ascii="Times New Roman" w:eastAsia="Times New Roman" w:hAnsi="Times New Roman" w:cs="Times New Roman"/>
          <w:color w:val="000000"/>
          <w:sz w:val="28"/>
        </w:rPr>
        <w:lastRenderedPageBreak/>
        <w:t xml:space="preserve">записи материала, научиться рационально сокращать слова и отдельные словосочетания.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rFonts w:ascii="Times New Roman" w:eastAsia="Times New Roman" w:hAnsi="Times New Roman" w:cs="Times New Roman"/>
          <w:sz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640063" w:rsidRDefault="00640063">
      <w:pPr>
        <w:spacing w:after="0" w:line="240" w:lineRule="auto"/>
        <w:ind w:firstLine="567"/>
        <w:rPr>
          <w:rFonts w:ascii="Times New Roman" w:eastAsia="Times New Roman" w:hAnsi="Times New Roman" w:cs="Times New Roman"/>
          <w:color w:val="000000"/>
          <w:sz w:val="28"/>
        </w:rPr>
      </w:pP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Методические рекомендации студентам</w:t>
      </w: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работе с литературой</w:t>
      </w:r>
    </w:p>
    <w:p w:rsidR="00640063" w:rsidRDefault="00640063">
      <w:pPr>
        <w:spacing w:after="0" w:line="240" w:lineRule="auto"/>
        <w:ind w:firstLine="567"/>
        <w:jc w:val="center"/>
        <w:rPr>
          <w:rFonts w:ascii="Times New Roman" w:eastAsia="Times New Roman" w:hAnsi="Times New Roman" w:cs="Times New Roman"/>
          <w:color w:val="000000"/>
          <w:sz w:val="28"/>
        </w:rPr>
      </w:pP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рабочей программе дисциплины для каждого раздела и темы дисциплины указывается основная и дополнительная литература, </w:t>
      </w:r>
      <w:r>
        <w:rPr>
          <w:rFonts w:ascii="Times New Roman" w:eastAsia="Times New Roman" w:hAnsi="Times New Roman" w:cs="Times New Roman"/>
          <w:color w:val="000000"/>
          <w:sz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это схема прочитанного материала, перечень вопросов, отражающих структуру и последовательность материала.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 это систематизированное, логичное изложение материала источника. Различаются четыре типа конспектов: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план-конспект – это развернутый детализированный план, в котором по наиболее сложным вопросам даются подробные пояснения,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текстуальный конспект – это воспроизведение наиболее важных положений и фактов источника,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тематический конспект – составляется на основе изучения ряда источников и дает ответ по изучаемому вопросу.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640063" w:rsidRDefault="00640063">
      <w:pPr>
        <w:spacing w:after="0" w:line="240" w:lineRule="auto"/>
        <w:ind w:firstLine="567"/>
        <w:jc w:val="both"/>
        <w:rPr>
          <w:rFonts w:ascii="Times New Roman" w:eastAsia="Times New Roman" w:hAnsi="Times New Roman" w:cs="Times New Roman"/>
          <w:sz w:val="28"/>
        </w:rPr>
      </w:pPr>
    </w:p>
    <w:p w:rsidR="00640063" w:rsidRDefault="00640063">
      <w:pPr>
        <w:spacing w:after="0" w:line="240" w:lineRule="auto"/>
        <w:ind w:firstLine="567"/>
        <w:jc w:val="both"/>
        <w:rPr>
          <w:rFonts w:ascii="Times New Roman" w:eastAsia="Times New Roman" w:hAnsi="Times New Roman" w:cs="Times New Roman"/>
          <w:color w:val="000000"/>
          <w:sz w:val="28"/>
        </w:rPr>
      </w:pP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подготовке к зачету или экзамену</w:t>
      </w:r>
    </w:p>
    <w:p w:rsidR="00640063" w:rsidRDefault="00640063">
      <w:pPr>
        <w:spacing w:after="0" w:line="240" w:lineRule="auto"/>
        <w:ind w:firstLine="567"/>
        <w:jc w:val="center"/>
        <w:rPr>
          <w:rFonts w:ascii="Times New Roman" w:eastAsia="Times New Roman" w:hAnsi="Times New Roman" w:cs="Times New Roman"/>
          <w:color w:val="000000"/>
          <w:sz w:val="28"/>
        </w:rPr>
      </w:pP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w:t>
      </w:r>
      <w:r>
        <w:rPr>
          <w:rFonts w:ascii="Times New Roman" w:eastAsia="Times New Roman" w:hAnsi="Times New Roman" w:cs="Times New Roman"/>
          <w:sz w:val="28"/>
        </w:rPr>
        <w:lastRenderedPageBreak/>
        <w:t>составить письменные ответы на все вопросы, вынесенные на зачет или экзамен.</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уделять достаточное время сну;</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отказаться от успокоительных. Здоровое волнение – это нормально. Лучше снимать волнение небольшими прогулками, самовнушением;</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внушать себе, что сессия – это не проблема. Это нормальный рабочий процесс. Не накручивайте себя, не создавайте трагедий в своей голове;</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помогите своему организму – обеспечьте ему полноценное питание, давайте ему периоды отдыха с переменой вида деятельности;</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следуйте плану подготовки.</w:t>
      </w:r>
    </w:p>
    <w:p w:rsidR="00640063" w:rsidRDefault="00640063">
      <w:pPr>
        <w:spacing w:after="0" w:line="240" w:lineRule="auto"/>
        <w:ind w:firstLine="567"/>
        <w:jc w:val="both"/>
        <w:rPr>
          <w:rFonts w:ascii="Times New Roman" w:eastAsia="Times New Roman" w:hAnsi="Times New Roman" w:cs="Times New Roman"/>
          <w:sz w:val="28"/>
        </w:rPr>
      </w:pP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 xml:space="preserve">Методические рекомендации студентам </w:t>
      </w: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по проведению самостоятельной работы</w:t>
      </w:r>
    </w:p>
    <w:p w:rsidR="00640063" w:rsidRDefault="00640063">
      <w:pPr>
        <w:spacing w:after="0" w:line="240" w:lineRule="auto"/>
        <w:ind w:firstLine="567"/>
        <w:jc w:val="both"/>
        <w:rPr>
          <w:rFonts w:ascii="Times New Roman" w:eastAsia="Times New Roman" w:hAnsi="Times New Roman" w:cs="Times New Roman"/>
          <w:color w:val="000000"/>
          <w:sz w:val="28"/>
        </w:rPr>
      </w:pP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ab/>
        <w:t xml:space="preserve">Самостоятельная работа студента над учебным материалом является неотъемлемой частью учебного процесса в вузе.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 учебном процессе образовательного учреждения выделяются два вида самостоятельной работы: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640063" w:rsidRDefault="00F651F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 выполнение самостоятельных работ; </w:t>
      </w:r>
    </w:p>
    <w:p w:rsidR="00640063" w:rsidRDefault="00F651F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выполнение контрольных и лабораторных работ; </w:t>
      </w:r>
    </w:p>
    <w:p w:rsidR="00640063" w:rsidRDefault="00F651F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составление схем, диаграмм, заполнение таблиц; </w:t>
      </w:r>
    </w:p>
    <w:p w:rsidR="00640063" w:rsidRDefault="00F651F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решение задач;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работу со справочной, нормативной документацией и научной литературой; </w:t>
      </w:r>
    </w:p>
    <w:p w:rsidR="00640063" w:rsidRDefault="00F651F4">
      <w:pPr>
        <w:spacing w:after="0" w:line="240" w:lineRule="auto"/>
        <w:ind w:firstLine="567"/>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защиту выполненных работ;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тестирование и т. д.</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 </w:t>
      </w:r>
      <w:r>
        <w:rPr>
          <w:rFonts w:ascii="Times New Roman" w:eastAsia="Times New Roman" w:hAnsi="Times New Roman" w:cs="Times New Roman"/>
          <w:i/>
          <w:color w:val="000000"/>
          <w:sz w:val="28"/>
        </w:rPr>
        <w:t xml:space="preserve">внеаудиторная – </w:t>
      </w:r>
      <w:r>
        <w:rPr>
          <w:rFonts w:ascii="Times New Roman" w:eastAsia="Times New Roman" w:hAnsi="Times New Roman" w:cs="Times New Roman"/>
          <w:color w:val="000000"/>
          <w:sz w:val="28"/>
        </w:rPr>
        <w:t xml:space="preserve">выполняется по заданию преподавателя, но без его непосредственного участия, включает следующие виды деятельности.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аудиторным занятиям (теоретическим, практическим занятиям, лабораторным работам);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домашних заданий разнообразного характера;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выполнение индивидуальных заданий, направленных на развитие у студентов самостоятельности и инициативы;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учебной и производственной практикам и выполнение заданий, предусмотренных программами практик;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контрольной работе, зачету, экзамену;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написание курсовой работы, реферата и других письменных работ на заданные темы;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подготовку к ГИА, в том числе выполнение ВКР;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t>– другие виды внеаудиторной самостоятельной работы, специальные для конкретной учебной дисциплины или профессионального модуля.</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При планировании заданий для внеаудиторной самостоятельной работы используются следующие типы самостоятельной работы: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rFonts w:ascii="Times New Roman" w:eastAsia="Times New Roman" w:hAnsi="Times New Roman" w:cs="Times New Roman"/>
          <w:sz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Одной из важных форм самостоятельной работы студента является работа с литературой ко всем видам занятий: лабораторным, </w:t>
      </w:r>
      <w:r>
        <w:rPr>
          <w:rFonts w:ascii="Times New Roman" w:eastAsia="Times New Roman" w:hAnsi="Times New Roman" w:cs="Times New Roman"/>
          <w:color w:val="000000"/>
          <w:sz w:val="28"/>
        </w:rPr>
        <w:t>семинарским, практическим, при подготовке к зачетам, экзаменам, тестированию, участию в научных конференциях.</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w:t>
      </w:r>
      <w:r>
        <w:rPr>
          <w:rFonts w:ascii="Times New Roman" w:eastAsia="Times New Roman" w:hAnsi="Times New Roman" w:cs="Times New Roman"/>
          <w:color w:val="000000"/>
          <w:sz w:val="28"/>
        </w:rPr>
        <w:lastRenderedPageBreak/>
        <w:t>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rFonts w:ascii="Times New Roman" w:eastAsia="Times New Roman" w:hAnsi="Times New Roman" w:cs="Times New Roman"/>
          <w:i/>
          <w:color w:val="000000"/>
          <w:sz w:val="28"/>
        </w:rPr>
        <w:t xml:space="preserve"> </w:t>
      </w:r>
      <w:r>
        <w:rPr>
          <w:rFonts w:ascii="Times New Roman" w:eastAsia="Times New Roman" w:hAnsi="Times New Roman" w:cs="Times New Roman"/>
          <w:color w:val="000000"/>
          <w:sz w:val="28"/>
        </w:rPr>
        <w:t xml:space="preserve">тезисах отмечается преобладание выводов над </w:t>
      </w:r>
      <w:r>
        <w:rPr>
          <w:rFonts w:ascii="Times New Roman" w:eastAsia="Times New Roman" w:hAnsi="Times New Roman" w:cs="Times New Roman"/>
          <w:sz w:val="28"/>
        </w:rPr>
        <w:t>общими рассуждениями. Записываются они близко к оригинальному тексту, т. е. без использования прямого цитирования.</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640063" w:rsidRDefault="00F651F4">
      <w:pPr>
        <w:spacing w:after="0" w:line="240" w:lineRule="auto"/>
        <w:ind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rFonts w:ascii="Times New Roman" w:eastAsia="Times New Roman" w:hAnsi="Times New Roman" w:cs="Times New Roman"/>
          <w:sz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40063" w:rsidRDefault="00640063">
      <w:pPr>
        <w:spacing w:after="0" w:line="240" w:lineRule="auto"/>
        <w:ind w:firstLine="567"/>
        <w:jc w:val="both"/>
        <w:rPr>
          <w:rFonts w:ascii="Times New Roman" w:eastAsia="Times New Roman" w:hAnsi="Times New Roman" w:cs="Times New Roman"/>
          <w:sz w:val="28"/>
        </w:rPr>
      </w:pPr>
    </w:p>
    <w:p w:rsidR="00640063" w:rsidRDefault="00640063">
      <w:pPr>
        <w:spacing w:after="0" w:line="240" w:lineRule="auto"/>
        <w:ind w:firstLine="567"/>
        <w:jc w:val="both"/>
        <w:rPr>
          <w:rFonts w:ascii="Times New Roman" w:eastAsia="Times New Roman" w:hAnsi="Times New Roman" w:cs="Times New Roman"/>
          <w:sz w:val="28"/>
        </w:rPr>
      </w:pPr>
    </w:p>
    <w:p w:rsidR="00640063" w:rsidRDefault="00F651F4">
      <w:pPr>
        <w:tabs>
          <w:tab w:val="left" w:pos="1138"/>
        </w:tabs>
        <w:spacing w:after="0" w:line="240" w:lineRule="auto"/>
        <w:ind w:firstLine="709"/>
        <w:jc w:val="center"/>
        <w:rPr>
          <w:rFonts w:ascii="Times New Roman" w:eastAsia="Times New Roman" w:hAnsi="Times New Roman" w:cs="Times New Roman"/>
          <w:b/>
          <w:sz w:val="28"/>
        </w:rPr>
      </w:pPr>
      <w:r>
        <w:rPr>
          <w:rFonts w:ascii="Times New Roman" w:eastAsia="Times New Roman" w:hAnsi="Times New Roman" w:cs="Times New Roman"/>
          <w:b/>
          <w:sz w:val="28"/>
        </w:rPr>
        <w:t>Темы для самостоятельной работы</w:t>
      </w:r>
    </w:p>
    <w:p w:rsidR="00640063" w:rsidRDefault="00640063">
      <w:pPr>
        <w:tabs>
          <w:tab w:val="left" w:pos="1138"/>
        </w:tabs>
        <w:spacing w:after="0" w:line="240" w:lineRule="auto"/>
        <w:rPr>
          <w:rFonts w:ascii="Times New Roman" w:eastAsia="Times New Roman" w:hAnsi="Times New Roman" w:cs="Times New Roman"/>
          <w:b/>
          <w:sz w:val="28"/>
        </w:rPr>
      </w:pPr>
    </w:p>
    <w:p w:rsidR="00640063" w:rsidRDefault="00F651F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Случайные события.</w:t>
      </w:r>
    </w:p>
    <w:p w:rsidR="00640063" w:rsidRDefault="00F651F4">
      <w:pPr>
        <w:tabs>
          <w:tab w:val="left" w:pos="0"/>
        </w:tabs>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Вычисление вероятности событий.</w:t>
      </w:r>
    </w:p>
    <w:p w:rsidR="00640063" w:rsidRDefault="00F651F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Случайные величины.</w:t>
      </w:r>
    </w:p>
    <w:p w:rsidR="00640063" w:rsidRDefault="00F651F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 Выборочный метод.</w:t>
      </w:r>
    </w:p>
    <w:p w:rsidR="00640063" w:rsidRDefault="00F651F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Оценка параметров распределения.</w:t>
      </w:r>
    </w:p>
    <w:p w:rsidR="00640063" w:rsidRDefault="00F651F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 Критерий согласия.</w:t>
      </w:r>
    </w:p>
    <w:p w:rsidR="00640063" w:rsidRDefault="00F651F4">
      <w:pPr>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 Регрессионный и корреляционный анализ.</w:t>
      </w:r>
    </w:p>
    <w:p w:rsidR="00640063" w:rsidRDefault="00F651F4">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color w:val="000000"/>
          <w:sz w:val="28"/>
        </w:rPr>
        <w:t>8. Подготовка и сдача зачета.</w:t>
      </w:r>
    </w:p>
    <w:p w:rsidR="00640063" w:rsidRDefault="00640063">
      <w:pPr>
        <w:tabs>
          <w:tab w:val="left" w:pos="0"/>
        </w:tabs>
        <w:spacing w:after="0" w:line="240" w:lineRule="auto"/>
        <w:jc w:val="both"/>
        <w:rPr>
          <w:rFonts w:ascii="Times New Roman" w:eastAsia="Times New Roman" w:hAnsi="Times New Roman" w:cs="Times New Roman"/>
          <w:sz w:val="28"/>
        </w:rPr>
      </w:pPr>
    </w:p>
    <w:p w:rsidR="00640063" w:rsidRDefault="00640063">
      <w:pPr>
        <w:spacing w:after="0" w:line="240" w:lineRule="auto"/>
        <w:ind w:firstLine="567"/>
        <w:jc w:val="both"/>
        <w:rPr>
          <w:rFonts w:ascii="Times New Roman" w:eastAsia="Times New Roman" w:hAnsi="Times New Roman" w:cs="Times New Roman"/>
          <w:sz w:val="28"/>
        </w:rPr>
      </w:pPr>
    </w:p>
    <w:p w:rsidR="00640063" w:rsidRDefault="00F651F4">
      <w:pPr>
        <w:spacing w:after="0" w:line="240" w:lineRule="auto"/>
        <w:ind w:firstLine="567"/>
        <w:jc w:val="center"/>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Библиографический список</w:t>
      </w:r>
    </w:p>
    <w:p w:rsidR="00640063" w:rsidRDefault="00640063">
      <w:pPr>
        <w:spacing w:after="0" w:line="240" w:lineRule="auto"/>
        <w:ind w:firstLine="567"/>
        <w:jc w:val="center"/>
        <w:rPr>
          <w:rFonts w:ascii="Times New Roman" w:eastAsia="Times New Roman" w:hAnsi="Times New Roman" w:cs="Times New Roman"/>
          <w:color w:val="000000"/>
          <w:sz w:val="28"/>
        </w:rPr>
      </w:pP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 Колемаев В.А., Калинина В.Н. Теория вероятностей и математическая статистика: учебник для вузов / ЮНИТИ-ДАНА; Москва, 2012. 352 с.</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 Лисьев В.П. Теория вероятностей и математическая статистика: учебное пособие / Евразийский открытый институт; Москва, 2010. 199 с.</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 Катальников В.В., Шапарь Ю.В. Теория вероятностей и математическая статистика: учебное пособие / Екатеринбург: Уральский федеральный ун-т, ЭБС АСВ, 2014. 72 с.</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 Васильчик М.Ю., Аркашов Н.С., Ковалевский А.П., Назарова Т.М., Пупышев И.М., Тренева Т.В., Хаблов В.В., Шефель Г.С. Теория вероятностей. Примеры и задачи: учебное пособие / Новосибирский гос.техн.ун-т; Новосибирск, 2014. 124 с. </w:t>
      </w:r>
    </w:p>
    <w:p w:rsidR="00640063" w:rsidRDefault="00F651F4">
      <w:pPr>
        <w:spacing w:after="0" w:line="240" w:lineRule="auto"/>
        <w:ind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sectPr w:rsidR="00640063" w:rsidSect="00F948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compat>
    <w:useFELayout/>
  </w:compat>
  <w:rsids>
    <w:rsidRoot w:val="00640063"/>
    <w:rsid w:val="00640063"/>
    <w:rsid w:val="00F519C3"/>
    <w:rsid w:val="00F651F4"/>
    <w:rsid w:val="00F948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3305</Words>
  <Characters>18845</Characters>
  <Application>Microsoft Office Word</Application>
  <DocSecurity>0</DocSecurity>
  <Lines>157</Lines>
  <Paragraphs>44</Paragraphs>
  <ScaleCrop>false</ScaleCrop>
  <Company/>
  <LinksUpToDate>false</LinksUpToDate>
  <CharactersWithSpaces>22106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2023-07-25T09:13:00Z</dcterms:created>
  <dcterms:modified xsi:type="dcterms:W3CDTF">2023-10-06T11:25:00Z</dcterms:modified>
</cp:coreProperties>
</file>