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2.png" ContentType="image/png"/>
  <Override PartName="/word/media/image11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ind w:hanging="0"/>
        <w:jc w:val="right"/>
        <w:rPr>
          <w:i w:val="false"/>
          <w:i w:val="false"/>
          <w:color w:val="000000"/>
          <w:lang w:val="ru-RU"/>
        </w:rPr>
      </w:pPr>
      <w:r>
        <w:rPr>
          <w:i w:val="false"/>
          <w:color w:val="000000"/>
          <w:lang w:val="ru-RU"/>
        </w:rPr>
        <w:t>ПРИЛОЖЕНИЕ</w:t>
      </w:r>
    </w:p>
    <w:p>
      <w:pPr>
        <w:pStyle w:val="Style17"/>
        <w:ind w:hanging="0"/>
        <w:jc w:val="center"/>
        <w:rPr>
          <w:i w:val="false"/>
          <w:i w:val="false"/>
          <w:color w:val="000000"/>
          <w:lang w:val="ru-RU"/>
        </w:rPr>
      </w:pPr>
      <w:r>
        <w:rPr>
          <w:i w:val="false"/>
          <w:color w:val="000000"/>
          <w:lang w:val="ru-RU"/>
        </w:rPr>
      </w:r>
    </w:p>
    <w:p>
      <w:pPr>
        <w:pStyle w:val="Style17"/>
        <w:ind w:hanging="0"/>
        <w:jc w:val="center"/>
        <w:rPr>
          <w:i w:val="false"/>
          <w:i w:val="false"/>
          <w:color w:val="000000"/>
        </w:rPr>
      </w:pPr>
      <w:r>
        <w:rPr>
          <w:i w:val="false"/>
          <w:color w:val="000000"/>
        </w:rPr>
        <w:t>МИНИСТЕРСТВО НАУКИ И ВЫСШЕГО ОБРАЗОВАНИЯ  РОССИЙСКОЙ ФЕДЕРАЦИИ</w:t>
      </w:r>
    </w:p>
    <w:p>
      <w:pPr>
        <w:pStyle w:val="Style17"/>
        <w:ind w:hanging="0"/>
        <w:jc w:val="center"/>
        <w:rPr>
          <w:i w:val="false"/>
          <w:i w:val="false"/>
          <w:color w:val="000000"/>
          <w:sz w:val="32"/>
        </w:rPr>
      </w:pPr>
      <w:r>
        <w:rPr>
          <w:i w:val="false"/>
          <w:color w:val="000000"/>
          <w:sz w:val="32"/>
        </w:rPr>
      </w:r>
    </w:p>
    <w:p>
      <w:pPr>
        <w:pStyle w:val="15"/>
        <w:spacing w:lineRule="auto" w:line="240" w:before="0" w:after="0"/>
        <w:ind w:hanging="0"/>
        <w:contextualSpacing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>ФЕДЕРАЛЬНОЕ ГОСУДАРСТВЕННОЕ БЮДЖЕТНОЕ ОБРАЗОВАТЕЛЬНОЕ УЧРЕЖДЕНИЕ ВЫСШЕГО ОБРАЗОВАНИЯ</w:t>
      </w:r>
    </w:p>
    <w:p>
      <w:pPr>
        <w:pStyle w:val="15"/>
        <w:spacing w:lineRule="auto" w:line="240" w:before="0" w:after="0"/>
        <w:ind w:hanging="0"/>
        <w:contextualSpacing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 xml:space="preserve">«РЯЗАНСКИЙ ГОСУДАРСТВЕННЫЙ РАДИОТЕХНИЧЕСКИЙ УНИВЕРСИТЕТ </w:t>
      </w:r>
    </w:p>
    <w:p>
      <w:pPr>
        <w:pStyle w:val="15"/>
        <w:spacing w:lineRule="auto" w:line="240" w:before="0" w:after="0"/>
        <w:ind w:hanging="0"/>
        <w:contextualSpacing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cs="Times New Roman;Times New Roman" w:ascii="Times New Roman;Times New Roman" w:hAnsi="Times New Roman;Times New Roman"/>
          <w:sz w:val="24"/>
        </w:rPr>
        <w:t>ИМЕНИ В.Ф.УТКИНА»</w:t>
      </w:r>
    </w:p>
    <w:p>
      <w:pPr>
        <w:pStyle w:val="Normal"/>
        <w:shd w:val="clear" w:fill="FFFFFF"/>
        <w:ind w:hanging="0"/>
        <w:jc w:val="center"/>
        <w:rPr>
          <w:rFonts w:ascii="Times New Roman;Times New Roman" w:hAnsi="Times New Roman;Times New Roman" w:cs="Times New Roman;Times New Roman"/>
          <w:color w:val="000000"/>
          <w:sz w:val="24"/>
        </w:rPr>
      </w:pPr>
      <w:r>
        <w:rPr>
          <w:rFonts w:cs="Times New Roman;Times New Roman"/>
          <w:color w:val="000000"/>
          <w:sz w:val="24"/>
        </w:rPr>
      </w:r>
    </w:p>
    <w:p>
      <w:pPr>
        <w:pStyle w:val="Normal"/>
        <w:shd w:val="clear" w:fill="FFFFFF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«Радиотехнические устройства»</w:t>
      </w:r>
    </w:p>
    <w:p>
      <w:pPr>
        <w:pStyle w:val="Normal"/>
        <w:shd w:val="clear" w:fill="FFFFFF"/>
        <w:ind w:hang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shd w:val="clear" w:fill="FFFFFF"/>
        <w:ind w:left="706" w:right="499" w:hanging="178"/>
        <w:jc w:val="center"/>
        <w:rPr>
          <w:color w:val="000000"/>
        </w:rPr>
      </w:pPr>
      <w:r>
        <w:rPr>
          <w:color w:val="000000"/>
        </w:rPr>
      </w:r>
    </w:p>
    <w:tbl>
      <w:tblPr>
        <w:tblW w:w="9923" w:type="dxa"/>
        <w:jc w:val="left"/>
        <w:tblInd w:w="2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4677"/>
      </w:tblGrid>
      <w:tr>
        <w:trPr/>
        <w:tc>
          <w:tcPr>
            <w:tcW w:w="5245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245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napToGrid w:val="false"/>
              <w:ind w:right="499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lineRule="exact" w:line="288" w:before="0" w:after="0"/>
        <w:ind w:left="706" w:right="499" w:hanging="178"/>
        <w:contextualSpacing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widowControl w:val="false"/>
        <w:shd w:val="clear" w:fill="FFFFFF"/>
        <w:suppressAutoHyphens w:val="false"/>
        <w:spacing w:before="0" w:after="0"/>
        <w:ind w:hanging="0"/>
        <w:contextualSpacing/>
        <w:jc w:val="center"/>
        <w:rPr>
          <w:b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fill="FFFFFF"/>
        <w:suppressAutoHyphens w:val="false"/>
        <w:spacing w:before="0" w:after="0"/>
        <w:ind w:hanging="0"/>
        <w:contextualSpacing/>
        <w:jc w:val="center"/>
        <w:rPr>
          <w:b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val="clear" w:fill="FFFFFF"/>
        <w:ind w:hanging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Б1.В.ДВ.05.02 «ТЕОРИЯ ПОСТРОЕНИЯ ЭНЕРГОЭФФЕКТИВНЫХ РАДИОНАВИГАЦИОННЫХ СИСТЕМ И КОМПЛЕКСОВ»</w:t>
      </w:r>
    </w:p>
    <w:p>
      <w:pPr>
        <w:pStyle w:val="211"/>
        <w:ind w:hanging="0"/>
        <w:jc w:val="center"/>
        <w:rPr>
          <w:b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ind w:hanging="0"/>
        <w:jc w:val="center"/>
        <w:rPr>
          <w:rFonts w:eastAsia="TimesNewRomanPSMT;Arial Unicode MS"/>
          <w:sz w:val="28"/>
          <w:szCs w:val="28"/>
        </w:rPr>
      </w:pPr>
      <w:r>
        <w:rPr>
          <w:rFonts w:eastAsia="TimesNewRomanPSMT;Arial Unicode MS"/>
          <w:sz w:val="28"/>
          <w:szCs w:val="28"/>
        </w:rPr>
        <w:t>Направление подготовки</w:t>
      </w:r>
    </w:p>
    <w:p>
      <w:pPr>
        <w:pStyle w:val="Normal"/>
        <w:ind w:hanging="0"/>
        <w:jc w:val="center"/>
        <w:rPr/>
      </w:pPr>
      <w:r>
        <w:rPr>
          <w:sz w:val="28"/>
        </w:rPr>
        <w:t>11.05.01  Радиоэлектронные системы и комплексы</w:t>
      </w:r>
    </w:p>
    <w:p>
      <w:pPr>
        <w:pStyle w:val="Normal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right="499" w:hanging="0"/>
        <w:jc w:val="center"/>
        <w:rPr/>
      </w:pPr>
      <w:r>
        <w:rPr>
          <w:sz w:val="28"/>
          <w:szCs w:val="28"/>
        </w:rPr>
        <w:t>Направленность (профиль) подготовки</w:t>
      </w:r>
    </w:p>
    <w:p>
      <w:pPr>
        <w:pStyle w:val="Normal"/>
        <w:ind w:right="499" w:hanging="0"/>
        <w:jc w:val="center"/>
        <w:rPr/>
      </w:pPr>
      <w:r>
        <w:rPr>
          <w:sz w:val="28"/>
          <w:szCs w:val="28"/>
        </w:rPr>
        <w:t>«Радионавигационные системы и комплексы»</w:t>
      </w:r>
    </w:p>
    <w:p>
      <w:pPr>
        <w:pStyle w:val="Normal"/>
        <w:ind w:hanging="0"/>
        <w:jc w:val="center"/>
        <w:rPr>
          <w:rFonts w:eastAsia="TimesNewRomanPSMT;Arial Unicode MS"/>
          <w:sz w:val="28"/>
          <w:szCs w:val="28"/>
        </w:rPr>
      </w:pPr>
      <w:r>
        <w:rPr>
          <w:rFonts w:eastAsia="TimesNewRomanPSMT;Arial Unicode MS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eastAsia="TimesNewRomanPSMT;Arial Unicode MS"/>
          <w:sz w:val="28"/>
          <w:szCs w:val="28"/>
        </w:rPr>
        <w:t xml:space="preserve">Квалификация  выпускника – инженер </w:t>
      </w:r>
    </w:p>
    <w:p>
      <w:pPr>
        <w:pStyle w:val="Normal"/>
        <w:ind w:hanging="0"/>
        <w:jc w:val="center"/>
        <w:rPr>
          <w:rFonts w:eastAsia="TimesNewRomanPSMT;Arial Unicode MS"/>
          <w:sz w:val="28"/>
          <w:szCs w:val="28"/>
        </w:rPr>
      </w:pPr>
      <w:r>
        <w:rPr>
          <w:rFonts w:eastAsia="TimesNewRomanPSMT;Arial Unicode MS"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rFonts w:eastAsia="TimesNewRomanPSMT;Arial Unicode MS"/>
          <w:sz w:val="28"/>
          <w:szCs w:val="28"/>
        </w:rPr>
        <w:t xml:space="preserve">Формы обучения – очная  </w:t>
      </w:r>
    </w:p>
    <w:p>
      <w:pPr>
        <w:pStyle w:val="Normal"/>
        <w:ind w:hanging="0"/>
        <w:jc w:val="center"/>
        <w:rPr>
          <w:rFonts w:eastAsia="TimesNewRomanPSMT;Arial Unicode MS"/>
          <w:b/>
          <w:b/>
          <w:bCs/>
          <w:sz w:val="28"/>
          <w:szCs w:val="28"/>
          <w:lang w:eastAsia="ru-RU"/>
        </w:rPr>
      </w:pPr>
      <w:r>
        <w:rPr>
          <w:rFonts w:eastAsia="TimesNewRomanPSMT;Arial Unicode MS"/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ind w:hanging="0"/>
        <w:jc w:val="center"/>
        <w:rPr/>
      </w:pPr>
      <w:r>
        <w:rPr>
          <w:bCs/>
          <w:sz w:val="28"/>
          <w:szCs w:val="28"/>
          <w:lang w:eastAsia="ru-RU"/>
        </w:rPr>
        <w:t>Рязань 2023</w:t>
      </w:r>
    </w:p>
    <w:p>
      <w:pPr>
        <w:pStyle w:val="Normal"/>
        <w:ind w:hanging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ind w:hanging="0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</w:r>
    </w:p>
    <w:p>
      <w:pPr>
        <w:pStyle w:val="Normal"/>
        <w:ind w:hanging="0"/>
        <w:jc w:val="center"/>
        <w:rPr/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rPr>
          <w:rFonts w:ascii="Times New Roman;Times New Roman" w:hAnsi="Times New Roman;Times New Roman" w:cs="Times New Roman;Times New Roman"/>
          <w:b/>
          <w:b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b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Основная задача – обеспечить оценку уровня сформированности профессиональных компетенций.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Контроль знаний, умений и владений  обучающихся проводится в форме текущего контроля и промежуточной аттестации.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К контролю текущей успеваемости относится проверка обучающихся: </w:t>
      </w:r>
    </w:p>
    <w:p>
      <w:pPr>
        <w:pStyle w:val="FR2"/>
        <w:numPr>
          <w:ilvl w:val="0"/>
          <w:numId w:val="3"/>
        </w:numPr>
        <w:spacing w:lineRule="auto" w:line="24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на лекционных занятиях путем проведения текущего тестирования; </w:t>
      </w:r>
    </w:p>
    <w:p>
      <w:pPr>
        <w:pStyle w:val="FR2"/>
        <w:numPr>
          <w:ilvl w:val="0"/>
          <w:numId w:val="3"/>
        </w:numPr>
        <w:spacing w:lineRule="auto" w:line="24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по результатам выполнения лабораторных работ;</w:t>
      </w:r>
    </w:p>
    <w:p>
      <w:pPr>
        <w:pStyle w:val="FR2"/>
        <w:numPr>
          <w:ilvl w:val="0"/>
          <w:numId w:val="3"/>
        </w:numPr>
        <w:spacing w:lineRule="auto" w:line="24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по результатам защиты лабораторных работ. 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Промежуточная аттестация проводится в форме зачета – тестирование или письменный опрос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При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«незачтено».</w:t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 ОПИСАНИЕ ПОКАЗАТЕЛЕЙ И КРИТЕРИЕВ ОЦЕНИВАНИЯ КОМПЕТЕНЦИЙ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По дисциплине «Теория построения энергоэффективных радионавигационных систем и комплексов»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b/>
          <w:bCs/>
          <w:sz w:val="22"/>
          <w:szCs w:val="22"/>
        </w:rPr>
        <w:t>Критерии оценки знаний, умений, навыков на текущих и промежуточной аттестациях: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b/>
          <w:b/>
          <w:bCs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b/>
          <w:bCs/>
          <w:sz w:val="22"/>
          <w:szCs w:val="22"/>
        </w:rPr>
      </w:r>
    </w:p>
    <w:tbl>
      <w:tblPr>
        <w:tblW w:w="96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4"/>
        <w:gridCol w:w="3825"/>
      </w:tblGrid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Выполнение лабораторных работ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тестирование по темам дисциплины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>
        <w:trPr/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b/>
          <w:sz w:val="22"/>
          <w:szCs w:val="22"/>
        </w:rPr>
        <w:t>Оценка «зачтено»</w:t>
      </w:r>
      <w:r>
        <w:rPr>
          <w:rFonts w:cs="Times New Roman;Times New Roman" w:ascii="Times New Roman;Times New Roman" w:hAnsi="Times New Roman;Times New Roman"/>
          <w:sz w:val="22"/>
          <w:szCs w:val="22"/>
        </w:rPr>
        <w:t> выставляется студенту, который набрал в сумме более 60 баллов. Обязательным условием является выполнение и защита всех лабораторных работ на уровне не ниже порогового.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b/>
          <w:sz w:val="22"/>
          <w:szCs w:val="22"/>
        </w:rPr>
        <w:t>Оценка «незачтено»</w:t>
      </w:r>
      <w:r>
        <w:rPr>
          <w:rFonts w:cs="Times New Roman;Times New Roman" w:ascii="Times New Roman;Times New Roman" w:hAnsi="Times New Roman;Times New Roman"/>
          <w:sz w:val="22"/>
          <w:szCs w:val="22"/>
        </w:rPr>
        <w:t> выставляется студенту, который набрал в сумме менее 60 баллов или не выполнил всех предусмотренных лабораторных работ на уровне не ниже порогового.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Normal"/>
        <w:ind w:hanging="0"/>
        <w:jc w:val="center"/>
        <w:rPr/>
      </w:pPr>
      <w:r>
        <w:rPr>
          <w:b/>
          <w:bCs/>
          <w:iCs/>
          <w:sz w:val="22"/>
          <w:szCs w:val="22"/>
        </w:rPr>
        <w:t>3. ПАСПОРТ ОЦЕНОЧНЫХ МАТЕРИАЛОВ ПО ДИСЦИПЛИНЕ (МОДУЛЮ)</w:t>
      </w:r>
    </w:p>
    <w:p>
      <w:pPr>
        <w:pStyle w:val="Normal"/>
        <w:ind w:hanging="0"/>
        <w:jc w:val="both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17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34" w:type="dxa"/>
          <w:bottom w:w="0" w:type="dxa"/>
          <w:right w:w="34" w:type="dxa"/>
        </w:tblCellMar>
      </w:tblPr>
      <w:tblGrid>
        <w:gridCol w:w="4124"/>
        <w:gridCol w:w="2159"/>
        <w:gridCol w:w="2896"/>
      </w:tblGrid>
      <w:tr>
        <w:trPr>
          <w:trHeight w:val="900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Контролируемые разделы  (темы) дисциплины (результаты по разделам)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lineRule="auto" w:line="240"/>
              <w:ind w:hanging="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Вид, метод, форма </w:t>
            </w:r>
          </w:p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оценочного мероприятия</w:t>
            </w:r>
          </w:p>
        </w:tc>
      </w:tr>
      <w:tr>
        <w:trPr>
          <w:trHeight w:val="1200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Раздел 1. Теория построения энергоэффективных радионавигационных систем и комплексов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0"/>
              <w:ind w:left="0" w:right="0" w:hang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245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Тема 1 Первичные источники энергии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ПК-2 .1-З ПК-2 .1-У ПК-2 .1-В ПК-3.2-З ПК-3.2-У ПК-3.2-В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Style511"/>
              <w:widowControl/>
              <w:spacing w:lineRule="auto" w:line="240"/>
              <w:jc w:val="center"/>
              <w:rPr/>
            </w:pPr>
            <w:r>
              <w:rPr>
                <w:rStyle w:val="FontStyle137"/>
                <w:rFonts w:ascii="Times New Roman" w:hAnsi="Times New Roman"/>
                <w:sz w:val="22"/>
                <w:szCs w:val="22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color w:val="000000"/>
                <w:sz w:val="22"/>
                <w:szCs w:val="22"/>
              </w:rPr>
              <w:t>Текущее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https://cdo.rsreu. ru/course/view.php?id=2470</w:t>
            </w:r>
          </w:p>
        </w:tc>
      </w:tr>
      <w:tr>
        <w:trPr>
          <w:trHeight w:val="1185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Тема 2 Накопители и преобразователи энергии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ПК-2 .1-З ПК-2 .1-У ПК-2 .1-В ПК-3.2-З ПК-3.2-У ПК-3.2-В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Style511"/>
              <w:widowControl/>
              <w:spacing w:lineRule="auto" w:line="240"/>
              <w:jc w:val="center"/>
              <w:rPr/>
            </w:pPr>
            <w:r>
              <w:rPr>
                <w:rStyle w:val="FontStyle137"/>
                <w:rFonts w:ascii="Times New Roman" w:hAnsi="Times New Roman"/>
                <w:sz w:val="22"/>
                <w:szCs w:val="22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color w:val="000000"/>
                <w:sz w:val="22"/>
                <w:szCs w:val="22"/>
              </w:rPr>
              <w:t>Текущее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https://cdo.rsreu. ru/course/view.php?id=2470</w:t>
            </w:r>
          </w:p>
        </w:tc>
      </w:tr>
      <w:tr>
        <w:trPr>
          <w:trHeight w:val="1305" w:hRule="exact"/>
          <w:cantSplit w:val="true"/>
        </w:trPr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Тема 3 Интернет вещей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ПК-2 .1-З ПК-2 .1-У ПК-2 .1-В ПК-3.2-З ПК-3.2-У ПК-3.2-В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000000" w:fill="FFFFFF" w:val="clear"/>
          </w:tcPr>
          <w:p>
            <w:pPr>
              <w:pStyle w:val="Style511"/>
              <w:widowControl/>
              <w:spacing w:lineRule="auto" w:line="240"/>
              <w:jc w:val="center"/>
              <w:rPr/>
            </w:pPr>
            <w:r>
              <w:rPr>
                <w:rStyle w:val="FontStyle137"/>
                <w:rFonts w:ascii="Times New Roman" w:hAnsi="Times New Roman"/>
                <w:sz w:val="22"/>
                <w:szCs w:val="22"/>
              </w:rPr>
              <w:t>Зачет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37"/>
                <w:rFonts w:ascii="Times New Roman" w:hAnsi="Times New Roman"/>
                <w:color w:val="000000"/>
                <w:sz w:val="22"/>
                <w:szCs w:val="22"/>
              </w:rPr>
              <w:t>Текущее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https://cdo.rsreu. ru/course/view.php?id=2470</w:t>
            </w:r>
          </w:p>
        </w:tc>
      </w:tr>
    </w:tbl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РАСШИФРОВКА КОДОВ КОНТРОЛИРУЕМЫХ КОМПЕТЕНЦИЙ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ПК-2: </w:t>
      </w:r>
      <w:r>
        <w:rPr>
          <w:sz w:val="22"/>
          <w:szCs w:val="22"/>
        </w:rPr>
        <w:t>Способен проектировать приборы РТС и РЭС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ПК-2.1</w:t>
      </w:r>
      <w:r>
        <w:rPr>
          <w:sz w:val="22"/>
          <w:szCs w:val="22"/>
        </w:rPr>
        <w:t xml:space="preserve"> Разрабатывает технические задания на проектирование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Знать </w:t>
      </w:r>
      <w:r>
        <w:rPr>
          <w:sz w:val="22"/>
          <w:szCs w:val="22"/>
        </w:rPr>
        <w:t xml:space="preserve"> порядок, методы и средства проведения разработки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 xml:space="preserve"> рассчитывать проектные параметры и формировать основные пункты технического задания на проектирование 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Владеть</w:t>
      </w:r>
      <w:r>
        <w:rPr>
          <w:sz w:val="22"/>
          <w:szCs w:val="22"/>
        </w:rPr>
        <w:t xml:space="preserve"> навыками формулировки отчётных материалов по проектированию 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ПК-3:</w:t>
      </w:r>
      <w:r>
        <w:rPr>
          <w:sz w:val="22"/>
          <w:szCs w:val="22"/>
        </w:rPr>
        <w:t xml:space="preserve"> Способен проводить моделирование функциональных узлов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ПК-3.2</w:t>
      </w:r>
      <w:r>
        <w:rPr>
          <w:sz w:val="22"/>
          <w:szCs w:val="22"/>
        </w:rPr>
        <w:t xml:space="preserve"> Проводит исследования и моделирование режимов работы элементов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Знать</w:t>
      </w:r>
      <w:r>
        <w:rPr>
          <w:sz w:val="22"/>
          <w:szCs w:val="22"/>
        </w:rPr>
        <w:t xml:space="preserve">  электрические режимы и условия эксплуатации электронной компонентной базы, включая влияние статического электричества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Уметь</w:t>
      </w:r>
      <w:r>
        <w:rPr>
          <w:sz w:val="22"/>
          <w:szCs w:val="22"/>
        </w:rPr>
        <w:t xml:space="preserve">  определять рабочие режимы элементов 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Владеть</w:t>
      </w:r>
      <w:r>
        <w:rPr>
          <w:sz w:val="22"/>
          <w:szCs w:val="22"/>
        </w:rPr>
        <w:t xml:space="preserve"> методами и средствами измерения характеристик и режимов работы элементов радиоэлектронных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результате освоения дисциплины (модуля) обучающийся должен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Знать: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принципы действия радиоэлементов  радионавигационных систем и комплексов;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режимы работы  элементов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 Уметь: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проектировать элементы радионавигационных систем и комплексов;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исследовать режимы работа радионавигационных систем и комплексов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contextualSpacing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 Владеть: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>- методами разработки структурных и функциональных схем радиоэлектронных компонентов систем и комплексов  с применением современных САПР и прикладных программ;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- способами моделирования режимов работы элементов радионавигационных систем и комплексов</w:t>
      </w:r>
    </w:p>
    <w:p>
      <w:pPr>
        <w:pStyle w:val="Normal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/>
      </w:pPr>
      <w:r>
        <w:rPr>
          <w:b/>
          <w:sz w:val="22"/>
          <w:szCs w:val="22"/>
        </w:rPr>
        <w:t>4. ТИПОВЫЕ КОНТРОЛЬНЫЕ ВОПРОСЫ  И ИНЫЕ МАТЕРИАЛЫ</w:t>
      </w:r>
    </w:p>
    <w:p>
      <w:pPr>
        <w:pStyle w:val="Style231"/>
        <w:widowControl/>
        <w:rPr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FR2"/>
        <w:widowControl w:val="false"/>
        <w:suppressAutoHyphens w:val="true"/>
        <w:spacing w:lineRule="auto" w:line="240"/>
        <w:ind w:left="0" w:right="0" w:firstLine="680"/>
        <w:jc w:val="both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а) типовые контрольные вопросы: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 Интернет вещей, его назначение, задачи,  цели,  организация и примеры реализации.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2. Значение  беспроводных технологий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3. Беспроводное питание для телевизоров.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4. Роль беспроводных сетей в интернете вещей применительно использованию в быту.     Принципы  облачных вычислений в интернете вещей.  Средства измерения,  идентификации  и передачи данных в интернете вещей. Средства обработки данных.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 Средства передачи данных 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6. Главные особенности интернета вещей:  кто ставит цель и кто ищет пути решение задачи.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7. Как организован единый центр интернета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8. Примеры реализации проектов  типа «Умный дом»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9 Аппаратное обеспечение Bluetooth, диапазон рабочих частот,  вид модуляции и ее помехоустойчивость, дальность действия. Решаемые задачи.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10. Infrared Data Association. Назначение, потребляемая мощность, передаваемая информация, скорость передачи данных.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11. Беспроводное питание и зарядка, назначение,  достоинства и недостатки.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12. Регулировка мощности беспроводных зарядных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13. Как устроены зарядные  устройства в  виде  ковриков.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14. Зарядные устройства с использованием радиочастот.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15. Что такое беспроводная локальная сеть (WLAN). Каковы преимущества использования WLAN вместо проводной локальной сети?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16.Что такое Физический уровень стандарта IEEE 802.11  и что   он определяет.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17.  Канальный (Data Link) уровень 802.11 и из чего он состоит и как функционирует.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18.  С какой целью  MAC уровень 802.11 предоставляет возможность расчёта CRC и фрагментации пакетов. Каждый пакет имеет свою контрольную сумму CRC, которая рассчитывается и прикрепляется к пакету.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19. Как производится подключение к сети клиента в точке доступа.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20.Управление питанием в беспроводных устройствах.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21. Что такое  физический уровень беспроводных сетей и какие вопросы решаются на физическом уровне.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22. Какой  вид модуляции используется в стандарте IEEE 802.11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23.  Каким недостатком обладает фазная модуляция и как его устраняют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24.  Как возрастает  скорость  передачи протокола IEEE 802.11 при кодировании DSSS/DPSK 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25.Что такое кодирование CCK.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26. В чем заключается управление энергопотреблением.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27. Какие существуют режимы измерения мощности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bookmarkStart w:id="0" w:name="__DdeLink__777_2963578440"/>
      <w:r>
        <w:rPr>
          <w:rFonts w:cs="Times New Roman" w:ascii="Times New Roman" w:hAnsi="Times New Roman"/>
          <w:color w:val="000000"/>
          <w:sz w:val="22"/>
          <w:szCs w:val="22"/>
        </w:rPr>
        <w:t>28. Как устроен беспроводной датчик контроля окружающей среды для беспроводной сети субгигагерцевого диапазона со сверхнизким потреблением энергии.</w:t>
      </w:r>
      <w:bookmarkEnd w:id="0"/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29. Зарядка аккумуляторов с помощью солнечных батарей.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30. Принцип действия, основные параметры и эквивалентная  схема фотоэлектрического полупроводникового преобразователя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32. Понятие атмосферной массы  в солнечной энергетике. Стандартный солнечный спектр.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33. Наземные космические и фотоэлектрические  преобразователи с концентраторами излучения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34. Подбор и расчёт системы на солнечных батареях.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35 .Элемент Пельтье как источник питания  беспроводных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36. Устройства беспроводного и безбатарейного питания автономных узлов. (Energy Harvesters).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37. Модули от Powercast: питание датчика от сотовой сети.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38. Устройства связи без источников питания.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39.  Как запитать датчик от сотовой сети?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40. Ветроэнергетика  и ветрогенераторы.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41. Методика расчёта, обзор конструкций и компоновка микро ГЭС.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42. Гидроэлектрогенераторы (гидроэлектроустановки).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43. Современные аккумуляторы.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44. Классификация аккумуляторов.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45. Свинцово-кислотные аккумуляторы (SLA).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46. Гелевые аккумуляторы.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47. Никель-кадмиевые аккумуляторы (NiCd)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48. Эффект памяти в аккумуляторах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49. Никель-металлгидридные аккумуляторы (NiMH)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50. Общие рекомендации по зарядке аккумуляторов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51.  Литий-ионные аккумуляторы (Li-Ion).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52. Особенности контроллеров зарядки Li-ion аккумуляторов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53. Импульсные зарядные устройства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54. Спящий режим контроллеров AVR.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55. Методы снижения потребляемой мощности в беспроводных системах.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56. Микропотребляющие компоненты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57. Энергосбережение в автономных устройствах LTC3588-1.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58. Энергосберегающая интегральная микросхема  LTC3105.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59. Операционные усилители с низким энергопотреблением.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60. Беспроводные технологии на базе 32-битных контроллеров.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61.  Программно-аппаратный комплекс для беспроводных систем сбора и передачи данных ADUCRF101 + ADRadioNet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62.  MEMS-компоненты, датчики движения, беспроводные применения,  энергосбережение и технологические инновации.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63. Датчики с питанием из окружающей среды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64 .Беспроводные    датчики с автономным питанием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65. Опыт построения сети беспроводных датчиков для мониторинга систем ОВК зданий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66. Ионистор. Устройство, характеристики и применение ионисторов.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67. Приемник ISM диапазона с микропотреблением от Semtech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68. Микромощный передатчик с ЧМ.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69. Беспроводные микрофоны и их особенности</w:t>
      </w:r>
    </w:p>
    <w:p>
      <w:pPr>
        <w:pStyle w:val="FR2"/>
        <w:spacing w:lineRule="auto" w:line="240"/>
        <w:ind w:left="360" w:hanging="0"/>
        <w:rPr>
          <w:rFonts w:ascii="Times New Roman;Times New Roman" w:hAnsi="Times New Roman;Times New Roman" w:cs="Times New Roman;Times New Roman"/>
        </w:rPr>
      </w:pPr>
      <w:r>
        <w:rPr>
          <w:rFonts w:cs="Times New Roman;Times New Roman" w:ascii="Times New Roman;Times New Roman" w:hAnsi="Times New Roman;Times New Roma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contextualSpacing/>
        <w:jc w:val="left"/>
        <w:rPr/>
      </w:pPr>
      <w:r>
        <w:rPr>
          <w:rFonts w:cs="Times New Roman" w:ascii="Times New Roman" w:hAnsi="Times New Roman"/>
          <w:i/>
          <w:iCs/>
          <w:color w:val="000000"/>
          <w:sz w:val="22"/>
          <w:szCs w:val="22"/>
        </w:rPr>
        <w:t>б) вопросы лабораторных занятий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1.Что означает номинальное выходное напряжение?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2.Что означает пределы изменения входного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3.Что означает  пределы изменения выходного напряжении?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4.Что означает  коэффициент полезного действия стабилизатора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5.Что означает  коэффициент нестабильности по напряжению?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 xml:space="preserve">6.Что означает  коэффициент нестабильности по току?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7.Что означает  коэффициент сглаживания пульсаций?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8.Что означает  дифференциальное выходное сопротивление?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9.Что означает  темпера</w:t>
        <w:softHyphen/>
        <w:t>турный коэффициент напряжения ТКН;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10. Устройство и принцип действия 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11. Область применения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12. Начертите эквивалентную  схему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13. Каково время полного заряда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14. Почему после снятия  нагрузки с ионистора происходит увеличение его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15. Почему после отключения  зарядного устойства  от ионистора происходит уменьшение его напряжения, а затем стабилизация?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16. Как определить  сопротивление утечки 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17. Как рассчитать время работы ионистора в качестве резервного источника питания?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18. Начертите схему включения ионистора в качестве  бесперебойного источника питания.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18. Какое напряжения допустимо для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20. Назначение фотоэлектрических преобразователей.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21. Световая характеристика фотоэлектрических преобразователей.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22. Что означает понятие  «атмосферная масса»?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23. Что означает понятие  «солнечная постоянная»?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24.Каково значение коэффициента полезного действия фотоэлектрических преобразователей?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25. Каково значение мощности светового  потока на земной поверхности?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26. Начертите  и объясните зависимость мощности в нагрузке от тока фотоэлектрического преобразователя.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27. Начертите  и объясните зависимость мощности в нагрузке от освещенности  фотоэлектрического преобразователя.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28. Начертите эквивалентную схему фотоэлектрического преобразователя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29.Какие  беспроводные способы передачи электроэнергии вам известны?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30.Какое  применение, по вашему мнению, может найти индукционный способ передачи энергии?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31.Как повысить магнитную связь между двумя катушками индуктивности?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32.Задайтесь  диаметром индукторов и определите по вышеприведенным  формулам  расстояние, на котором  передача энергии целесообразна.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33.Что будет происходить  с расстоянием эффективной передачи энергии при увеличении диаметров индукторов?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34.Что будет происходить  с расстоянием эффективной передачи энергии при уменьшении  диаметров индукторов?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35.Как должны  быть взаимно ориентированы индукторы?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36.Что такое « Ближняя зона»?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37.Что такое « Дальняя зона»?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38.Что означает номинальное выходное напряжение?</w:t>
      </w:r>
    </w:p>
    <w:p>
      <w:pPr>
        <w:pStyle w:val="FR2"/>
        <w:spacing w:lineRule="auto" w:line="240"/>
        <w:ind w:left="0" w:right="0" w:hanging="0"/>
        <w:rPr>
          <w:rFonts w:cs="Times New Roman;Times New Roman"/>
        </w:rPr>
      </w:pPr>
      <w:r>
        <w:rPr>
          <w:rFonts w:cs="Times New Roman;Times New Roman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г) описание шкалы оценивания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При оценке работы студента используется балльно-рейтинговая система. Выполнение задания оценивается из 5 баллов.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tbl>
      <w:tblPr>
        <w:tblW w:w="9706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2324"/>
        <w:gridCol w:w="7381"/>
      </w:tblGrid>
      <w:tr>
        <w:trPr>
          <w:tblHeader w:val="true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6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Оценку «отлично»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4 балла 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6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Оценку «хорошо» 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3 балла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296" w:leader="none"/>
              </w:tabs>
              <w:suppressAutoHyphens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Оценку «удовлетворительно»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 балла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color w:val="000000"/>
                <w:sz w:val="22"/>
                <w:szCs w:val="24"/>
                <w:lang w:eastAsia="ru-RU"/>
              </w:rPr>
              <w:t>Оценка «неудовлетворительно»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Style231"/>
        <w:widowControl/>
        <w:ind w:firstLine="709"/>
        <w:rPr/>
      </w:pPr>
      <w:r>
        <w:rPr>
          <w:rStyle w:val="FontStyle134"/>
          <w:i/>
        </w:rPr>
        <w:t>4.2. Текущее тестирование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 xml:space="preserve">Для проведения текущей аттестации, позволяющей провести проверку освоения компетенций при изучении тем дисциплины, предусмотрены контрольные вопросы в тестовой форме. При  тестировании лекционного занятия студент отвечает на 8 вопросов, на защите лабораторной работы — на 20 вопросов, случайным образом выбираемых Moodle.  Тесты доступны авторизованным пользователям по ссылке  </w:t>
      </w:r>
      <w:hyperlink r:id="rId2">
        <w:r>
          <w:rPr>
            <w:rStyle w:val="Style8"/>
            <w:rFonts w:cs="Times New Roman;Times New Roman" w:ascii="Times New Roman;Times New Roman" w:hAnsi="Times New Roman;Times New Roman"/>
            <w:sz w:val="22"/>
            <w:szCs w:val="22"/>
          </w:rPr>
          <w:t>https://cdo.rsreu.ru/course/view.php?id=2470</w:t>
        </w:r>
      </w:hyperlink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Варианты тестовых вопросов  приведены ниже.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а) типовые тестовые вопросы по темам дисциплины: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1. Первичные источники энергии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  ПК-3.2-З, ПК-3.2-У)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eastAsia="Times New Roman"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1. Форма энергии в природе, которая не была подвергнута процессу искусственного преобразования, называется  </w:t>
      </w:r>
      <w:r>
        <w:rPr>
          <w:rFonts w:eastAsia="Times New Roman" w:cs="Times New Roman;Times New Roman" w:ascii="Times New Roman" w:hAnsi="Times New Roman"/>
          <w:b w:val="false"/>
          <w:bCs w:val="false"/>
          <w:i w:val="false"/>
          <w:iCs w:val="false"/>
          <w:color w:val="1F497D"/>
          <w:sz w:val="22"/>
          <w:szCs w:val="22"/>
          <w:lang w:eastAsia="ru-RU"/>
        </w:rPr>
        <w:t>первичной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Отметьте возобновляемые источники энергии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нефть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уголь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- газ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уран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торий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ветер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солнце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- текущая вода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приливы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/>
          <w:b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/>
          <w:bCs w:val="false"/>
          <w:i w:val="false"/>
          <w:iCs w:val="false"/>
          <w:sz w:val="22"/>
          <w:szCs w:val="22"/>
        </w:rPr>
        <w:t>- температура недр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Отметьте пути повышения автономности радиоэлектронной аппаратуры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совершенствование первичных источников энергии;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повышение эффективности способов её передачи;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увеличение ёмкости источников вторичного электропитания;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снижение потребления устройств получения, обработки и передачи информации;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- повышение стабильности и безопасности  каналов связи;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снижение веса и габаритов радиоэлектронной аппаратуры;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использование нанотехнологий;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- снижение размерности техпроцессов производства;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4. В среднем на 1 м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  <w:vertAlign w:val="superscript"/>
        </w:rPr>
        <w:t>2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поверхности, перпендикулярной солнечным лучам, на уровне моря падает мощность в  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color w:val="3465A4"/>
          <w:sz w:val="22"/>
          <w:szCs w:val="22"/>
        </w:rPr>
        <w:t xml:space="preserve"> 1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кВт.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 КПД солнечных модулей производства Рязанского завода металлокерамических приборов </w:t>
      </w:r>
      <w:r>
        <w:rPr>
          <w:rFonts w:cs="Times New Roman Greek" w:ascii="Times New Roman" w:hAnsi="Times New Roman"/>
          <w:sz w:val="22"/>
          <w:szCs w:val="22"/>
          <w:lang w:eastAsia="ru-RU"/>
        </w:rPr>
        <w:t>η</w:t>
      </w:r>
      <w:r>
        <w:rPr>
          <w:rFonts w:cs="Times New Roman" w:ascii="Times New Roman" w:hAnsi="Times New Roman"/>
          <w:sz w:val="22"/>
          <w:szCs w:val="22"/>
          <w:lang w:eastAsia="ru-RU"/>
        </w:rPr>
        <w:t xml:space="preserve"> =</w:t>
      </w:r>
      <w:r>
        <w:rPr>
          <w:rFonts w:ascii="Times New Roman" w:hAnsi="Times New Roman"/>
          <w:sz w:val="22"/>
          <w:szCs w:val="22"/>
        </w:rPr>
        <w:t xml:space="preserve"> 20%. Введите мощность в ваттах, вырабатываемую станцией ЭКОТЕРМ с солнечной батареей площадью S = 12 м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при прямом солнечном освещении (АМ = 1,5)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Ответ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Р = S x </w:t>
      </w:r>
      <w:r>
        <w:rPr>
          <w:rFonts w:cs="Times New Roman Greek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>η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 = </w:t>
      </w:r>
      <w:r>
        <w:rPr>
          <w:rFonts w:cs="Times New Roman" w:ascii="Times New Roman" w:hAnsi="Times New Roman"/>
          <w:b/>
          <w:bCs/>
          <w:i w:val="false"/>
          <w:iCs w:val="false"/>
          <w:sz w:val="22"/>
          <w:szCs w:val="22"/>
          <w:lang w:eastAsia="ru-RU"/>
        </w:rPr>
        <w:t xml:space="preserve">2400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eastAsia="ru-RU"/>
        </w:rPr>
        <w:t xml:space="preserve">Вт  </w:t>
      </w:r>
      <w:r>
        <w:rPr>
          <w:rFonts w:cs="Times New Roman;Times New Roman" w:ascii="Times New Roman" w:hAnsi="Times New Roman"/>
          <w:b/>
          <w:bCs w:val="false"/>
          <w:i w:val="false"/>
          <w:iCs w:val="false"/>
          <w:sz w:val="22"/>
          <w:szCs w:val="22"/>
        </w:rPr>
        <w:t xml:space="preserve">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>(от 2000 до 3000)</w:t>
      </w:r>
    </w:p>
    <w:p>
      <w:pPr>
        <w:pStyle w:val="FR2"/>
        <w:spacing w:lineRule="auto" w:line="240"/>
        <w:ind w:left="0" w:right="0" w:hanging="0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КПД солнечных модулей производства Рязанского завода металлокерамических приборов </w:t>
      </w:r>
      <w:r>
        <w:rPr>
          <w:rFonts w:cs="Times New Roman Greek" w:ascii="Times New Roman" w:hAnsi="Times New Roman"/>
          <w:sz w:val="22"/>
          <w:szCs w:val="22"/>
          <w:lang w:eastAsia="ru-RU"/>
        </w:rPr>
        <w:t>η</w:t>
      </w:r>
      <w:r>
        <w:rPr>
          <w:rFonts w:cs="Times New Roman" w:ascii="Times New Roman" w:hAnsi="Times New Roman"/>
          <w:sz w:val="22"/>
          <w:szCs w:val="22"/>
          <w:lang w:eastAsia="ru-RU"/>
        </w:rPr>
        <w:t xml:space="preserve"> = </w:t>
      </w:r>
      <w:r>
        <w:rPr>
          <w:rFonts w:ascii="Times New Roman" w:hAnsi="Times New Roman"/>
          <w:sz w:val="22"/>
          <w:szCs w:val="22"/>
        </w:rPr>
        <w:t xml:space="preserve">20%. Введите минимальное количество герметичных аккумуляторов  </w:t>
      </w:r>
      <w:r>
        <w:rPr>
          <w:rFonts w:ascii="Times New Roman" w:hAnsi="Times New Roman"/>
          <w:sz w:val="22"/>
          <w:szCs w:val="22"/>
          <w:lang w:val="en-US"/>
        </w:rPr>
        <w:t>DTM</w:t>
      </w:r>
      <w:r>
        <w:rPr>
          <w:rFonts w:ascii="Times New Roman" w:hAnsi="Times New Roman"/>
          <w:sz w:val="22"/>
          <w:szCs w:val="22"/>
        </w:rPr>
        <w:t xml:space="preserve"> 12100, находящихся в аккумуляторном отсеке станции ЭКОТЕРМ с площадью солнечных батарей S=15 м</w:t>
      </w:r>
      <w:r>
        <w:rPr>
          <w:rFonts w:ascii="Times New Roman" w:hAnsi="Times New Roman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Известно, что мощность солнечной батареи равна P = </w:t>
      </w:r>
      <w:r>
        <w:rPr>
          <w:rFonts w:cs="Times New Roman" w:ascii="Times New Roman" w:hAnsi="Times New Roman"/>
          <w:sz w:val="22"/>
          <w:szCs w:val="22"/>
        </w:rPr>
        <w:t xml:space="preserve">S x </w:t>
      </w:r>
      <w:r>
        <w:rPr>
          <w:rFonts w:cs="Times New Roman Greek" w:ascii="Times New Roman" w:hAnsi="Times New Roman"/>
          <w:sz w:val="22"/>
          <w:szCs w:val="22"/>
        </w:rPr>
        <w:t>η</w:t>
      </w:r>
      <w:r>
        <w:rPr>
          <w:rFonts w:cs="Times New Roman" w:ascii="Times New Roman" w:hAnsi="Times New Roman"/>
          <w:sz w:val="22"/>
          <w:szCs w:val="22"/>
        </w:rPr>
        <w:t xml:space="preserve"> = 3000 Вт.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При напряжении U=12В, ток I=P:U=250А способен зарядить N=I:30=9 параллельно соединённых аккумуляторов  </w:t>
      </w:r>
      <w:r>
        <w:rPr>
          <w:rFonts w:cs="Times New Roman" w:ascii="Times New Roman" w:hAnsi="Times New Roman"/>
          <w:sz w:val="22"/>
          <w:szCs w:val="22"/>
          <w:lang w:val="en-US"/>
        </w:rPr>
        <w:t>DTM</w:t>
      </w:r>
      <w:r>
        <w:rPr>
          <w:rFonts w:cs="Times New Roman" w:ascii="Times New Roman" w:hAnsi="Times New Roman"/>
          <w:sz w:val="22"/>
          <w:szCs w:val="22"/>
        </w:rPr>
        <w:t xml:space="preserve"> 12100       </w:t>
      </w:r>
      <w:r>
        <w:rPr>
          <w:rFonts w:ascii="Times New Roman" w:hAnsi="Times New Roman"/>
          <w:sz w:val="22"/>
          <w:szCs w:val="22"/>
        </w:rPr>
        <w:t xml:space="preserve">Ответ: </w:t>
      </w:r>
      <w:r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 (от 8 до 10)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Рассчитайте и введите себестоимость в рублях кВт/ч электроэнергии, полученной от дизельной электростанции </w:t>
      </w:r>
      <w:r>
        <w:rPr>
          <w:rFonts w:ascii="Times New Roman" w:hAnsi="Times New Roman"/>
          <w:sz w:val="22"/>
          <w:szCs w:val="22"/>
          <w:lang w:val="en-US"/>
        </w:rPr>
        <w:t>Fubag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en-US"/>
        </w:rPr>
        <w:t>DS</w:t>
      </w:r>
      <w:r>
        <w:rPr>
          <w:rFonts w:ascii="Times New Roman" w:hAnsi="Times New Roman"/>
          <w:sz w:val="22"/>
          <w:szCs w:val="22"/>
        </w:rPr>
        <w:t xml:space="preserve"> 3600, при стоимости электростанции 40 000 р, солярки 50 р за кг, расходе  300 г/кВт*ч  и сроке гарантии 5000 часов. 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 5000 часов электростанцией  будет выработано 15 000 кВт*ч  электроэнергии. Для её выработки потребуется 15000 х 0,3 = 4500 кг солярки ценой 225 000 р. Стоимость электростанции 40 000 р, итого общие расходы на производство 15 000 кВт*ч   - 265 000 р .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Себестоимость 1 кВт*ч  составит  265 000 : 15 000 = 17,7 р - примерно в 4 раза больше, чем от стационарной электросети.     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Ответ:  </w:t>
      </w:r>
      <w:r>
        <w:rPr>
          <w:rFonts w:cs="Times New Roman;Times New Roman" w:ascii="Times New Roman" w:hAnsi="Times New Roman"/>
          <w:b/>
          <w:bCs/>
          <w:i w:val="false"/>
          <w:iCs w:val="false"/>
          <w:sz w:val="22"/>
          <w:szCs w:val="22"/>
        </w:rPr>
        <w:t xml:space="preserve">17.7 </w:t>
      </w: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  <w:t xml:space="preserve">  (от 16 до 19)</w:t>
      </w:r>
    </w:p>
    <w:p>
      <w:pPr>
        <w:pStyle w:val="Normal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cs="Times New Roman;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;Times New Roman" w:ascii="Times New Roman" w:hAnsi="Times New Roman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2. Накопители и преобразователи энергии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ПК-2.1-У, ПК-3.2-З, ПК-3.2-У)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44450</wp:posOffset>
            </wp:positionH>
            <wp:positionV relativeFrom="paragraph">
              <wp:posOffset>132080</wp:posOffset>
            </wp:positionV>
            <wp:extent cx="3422650" cy="19583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sz w:val="22"/>
          <w:szCs w:val="22"/>
        </w:rPr>
        <w:t>График напряжения на ионисторе  до прерывания процесса его разряда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3075940</wp:posOffset>
            </wp:positionH>
            <wp:positionV relativeFrom="paragraph">
              <wp:posOffset>72390</wp:posOffset>
            </wp:positionV>
            <wp:extent cx="3403600" cy="19558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График напряжения разряда ионистора  после прерывания процесса его разряда. 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1. Отметьте причины повышения напряжения на ионисторе после прерывания процесса разряда</w:t>
      </w:r>
    </w:p>
    <w:p>
      <w:pPr>
        <w:sectPr>
          <w:type w:val="nextPage"/>
          <w:pgSz w:w="11906" w:h="16838"/>
          <w:pgMar w:left="1701" w:right="566" w:header="0" w:top="1134" w:footer="0" w:bottom="1134" w:gutter="0"/>
          <w:pgNumType w:fmt="decimal"/>
          <w:formProt w:val="false"/>
          <w:titlePg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 xml:space="preserve">-  </w:t>
      </w:r>
      <w:bookmarkStart w:id="1" w:name="yui_3_17_2_1_1689350470152_119"/>
      <w:bookmarkEnd w:id="1"/>
      <w:r>
        <w:rPr/>
        <w:t>снижение сопротивления цепи разряда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>-  стабилизация тока разряда</w:t>
      </w: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 xml:space="preserve">-  </w:t>
      </w:r>
      <w:r>
        <w:rPr>
          <w:color w:val="3465A4"/>
        </w:rPr>
        <w:t>перетекание заряда из заряженных областей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>- увеличение ёмкости ионистора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spacing w:before="0" w:after="0"/>
        <w:ind w:left="0" w:right="0" w:hanging="0"/>
        <w:contextualSpacing/>
        <w:rPr/>
      </w:pPr>
      <w:r>
        <w:rPr/>
        <w:t xml:space="preserve"> </w:t>
      </w:r>
      <w:r>
        <w:rPr/>
        <w:t>-  подключение источника заряда</w:t>
      </w:r>
    </w:p>
    <w:p>
      <w:pPr>
        <w:sectPr>
          <w:type w:val="continuous"/>
          <w:pgSz w:w="11906" w:h="16838"/>
          <w:pgMar w:left="1701" w:right="566" w:header="0" w:top="1134" w:footer="0" w:bottom="1134" w:gutter="0"/>
          <w:formProt w:val="false"/>
          <w:textDirection w:val="lrTb"/>
          <w:docGrid w:type="default" w:linePitch="600" w:charSpace="32768"/>
        </w:sectPr>
      </w:pP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-12700</wp:posOffset>
            </wp:positionH>
            <wp:positionV relativeFrom="paragraph">
              <wp:posOffset>113030</wp:posOffset>
            </wp:positionV>
            <wp:extent cx="4126865" cy="237109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2. По графику определите постоянную времени разряда ионистора (в секундах)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Ответ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40 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3449955" cy="2061210"/>
            <wp:effectExtent l="0" t="0" r="0" b="0"/>
            <wp:wrapSquare wrapText="largest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3. По графикам определите сопротивление цепи заряда ионистора   (в Омах)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29845</wp:posOffset>
            </wp:positionH>
            <wp:positionV relativeFrom="paragraph">
              <wp:posOffset>147320</wp:posOffset>
            </wp:positionV>
            <wp:extent cx="3515360" cy="2515235"/>
            <wp:effectExtent l="0" t="0" r="0" b="0"/>
            <wp:wrapSquare wrapText="largest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Ответ:   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10 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30480</wp:posOffset>
            </wp:positionH>
            <wp:positionV relativeFrom="paragraph">
              <wp:posOffset>635</wp:posOffset>
            </wp:positionV>
            <wp:extent cx="3869055" cy="2399665"/>
            <wp:effectExtent l="0" t="0" r="0" b="0"/>
            <wp:wrapSquare wrapText="largest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5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4. Рассчитайте (в Омах) выходное сопротивление передатчика энергии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Ответ 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>20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40005</wp:posOffset>
            </wp:positionH>
            <wp:positionV relativeFrom="paragraph">
              <wp:posOffset>100330</wp:posOffset>
            </wp:positionV>
            <wp:extent cx="3509010" cy="2506980"/>
            <wp:effectExtent l="0" t="0" r="0" b="0"/>
            <wp:wrapSquare wrapText="largest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/>
      </w:pPr>
      <w:r>
        <w:rPr>
          <w:b w:val="false"/>
          <w:bCs w:val="false"/>
          <w:i w:val="false"/>
          <w:iCs/>
          <w:sz w:val="22"/>
          <w:szCs w:val="22"/>
        </w:rPr>
        <w:t>5. Отметьте правильное включение элементов p  и n  в составе термоэлектрического модуля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sz w:val="22"/>
          <w:szCs w:val="22"/>
        </w:rPr>
        <w:t>- параллельно по току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color w:val="3465A4"/>
          <w:sz w:val="22"/>
          <w:szCs w:val="22"/>
        </w:rPr>
      </w:pP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>- каскадно по потоку тепла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sz w:val="22"/>
          <w:szCs w:val="22"/>
        </w:rPr>
        <w:t>- последовательно по потоку тепла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color w:val="3465A4"/>
          <w:sz w:val="22"/>
          <w:szCs w:val="22"/>
        </w:rPr>
      </w:pPr>
      <w:r>
        <w:rPr>
          <w:b w:val="false"/>
          <w:bCs w:val="false"/>
          <w:i w:val="false"/>
          <w:iCs/>
          <w:color w:val="3465A4"/>
          <w:sz w:val="22"/>
          <w:szCs w:val="22"/>
        </w:rPr>
        <w:t xml:space="preserve"> </w:t>
      </w:r>
      <w:r>
        <w:rPr>
          <w:b w:val="false"/>
          <w:bCs w:val="false"/>
          <w:i w:val="false"/>
          <w:iCs/>
          <w:color w:val="3465A4"/>
          <w:sz w:val="22"/>
          <w:szCs w:val="22"/>
        </w:rPr>
        <w:t>- последовательно по току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  <w:t>- параллельно по потоку тепла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b w:val="false"/>
          <w:bCs w:val="false"/>
          <w:i w:val="false"/>
          <w:iCs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3. Интернет вещей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ПК-3.2-З, ПК-3.2-У)</w:t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>
          <w:b w:val="false"/>
          <w:b w:val="false"/>
          <w:bCs w:val="false"/>
          <w:iCs/>
          <w:sz w:val="22"/>
          <w:szCs w:val="22"/>
        </w:rPr>
      </w:pPr>
      <w:r>
        <w:rPr>
          <w:b w:val="false"/>
          <w:bCs w:val="false"/>
          <w:iCs/>
          <w:sz w:val="22"/>
          <w:szCs w:val="22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14605</wp:posOffset>
            </wp:positionH>
            <wp:positionV relativeFrom="paragraph">
              <wp:posOffset>132715</wp:posOffset>
            </wp:positionV>
            <wp:extent cx="3719195" cy="3010535"/>
            <wp:effectExtent l="0" t="0" r="0" b="0"/>
            <wp:wrapSquare wrapText="largest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19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1. Поставьте  в соответствие элементам схемы передатчика их названия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Secondary coil  вторичная катушка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Core length l  длина сердечника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Distance d расстояние передачи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Primary coil   первичная катушка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Primary winding   первичная обмотка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Inverter  преобразователь напряжения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Secondary winding   вторичная обмотка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36195</wp:posOffset>
            </wp:positionH>
            <wp:positionV relativeFrom="paragraph">
              <wp:posOffset>104140</wp:posOffset>
            </wp:positionV>
            <wp:extent cx="3419475" cy="2466975"/>
            <wp:effectExtent l="0" t="0" r="0" b="0"/>
            <wp:wrapSquare wrapText="largest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2. Отметьте назначение компенсирующих конденсаторов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увеличение дальности передачи энергии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уменьшение числа витков обмоток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передача максимальной мощности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увеличение коэффициента трансформации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настройка контуров в резонанс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компенсация активных сопротивлений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компенсация индуктивных сопротивлений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8890</wp:posOffset>
            </wp:positionH>
            <wp:positionV relativeFrom="paragraph">
              <wp:posOffset>635</wp:posOffset>
            </wp:positionV>
            <wp:extent cx="3372485" cy="2450465"/>
            <wp:effectExtent l="0" t="0" r="0" b="0"/>
            <wp:wrapSquare wrapText="largest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>3. Эффективность зарядок с первичными катушками в 12 раз большей площади больше потому, что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больше передающих катушек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больше расстояние зарядки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можно заряжать несколько гаджетов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  <w:lang w:val="ru-RU"/>
        </w:rPr>
        <w:t xml:space="preserve"> </w:t>
      </w:r>
      <w:r>
        <w:rPr>
          <w:b w:val="false"/>
          <w:bCs w:val="false"/>
          <w:sz w:val="22"/>
          <w:szCs w:val="22"/>
          <w:lang w:val="ru-RU"/>
        </w:rPr>
        <w:t>- установлен неодимовый магнит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color w:val="3465A4"/>
        </w:rPr>
      </w:pPr>
      <w:r>
        <w:rPr>
          <w:b w:val="false"/>
          <w:bCs w:val="false"/>
          <w:color w:val="3465A4"/>
          <w:sz w:val="22"/>
          <w:szCs w:val="22"/>
          <w:lang w:val="ru-RU"/>
        </w:rPr>
        <w:t xml:space="preserve"> </w:t>
      </w:r>
      <w:r>
        <w:rPr>
          <w:b w:val="false"/>
          <w:bCs w:val="false"/>
          <w:color w:val="3465A4"/>
          <w:sz w:val="22"/>
          <w:szCs w:val="22"/>
          <w:lang w:val="ru-RU"/>
        </w:rPr>
        <w:t>- больше степень связи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firstLine="72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/>
          <w:bCs w:val="false"/>
          <w:iCs/>
          <w:sz w:val="22"/>
          <w:szCs w:val="22"/>
          <w:lang w:val="ru-RU"/>
        </w:rPr>
        <w:t>Тема 1. Первичные источники энергии  (</w:t>
      </w:r>
      <w:r>
        <w:rPr>
          <w:rFonts w:cs="Times New Roman" w:ascii="Times New Roman" w:hAnsi="Times New Roman"/>
          <w:b/>
          <w:bCs w:val="false"/>
          <w:iCs/>
          <w:color w:val="000000"/>
          <w:sz w:val="22"/>
          <w:szCs w:val="22"/>
          <w:lang w:val="ru-RU"/>
        </w:rPr>
        <w:t xml:space="preserve">ПК-2.1-В,   ПК-3.2-В)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ЛР1. Исследование фотопреобразователя. Электронное издание № 7499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Постройте в файле</w:t>
      </w:r>
      <w:r>
        <w:rPr>
          <w:rFonts w:cs="PT Astra Serif" w:ascii="Times New Roman" w:hAnsi="Times New Roman"/>
          <w:b w:val="false"/>
          <w:bCs w:val="false"/>
          <w:color w:val="611729"/>
          <w:sz w:val="22"/>
          <w:szCs w:val="22"/>
          <w:lang w:val="ru-RU"/>
        </w:rPr>
        <w:t xml:space="preserve"> «ЛР1фамилиягруппа.</w:t>
      </w:r>
      <w:r>
        <w:rPr>
          <w:rFonts w:cs="PT Astra Serif" w:ascii="Times New Roman" w:hAnsi="Times New Roman"/>
          <w:b w:val="false"/>
          <w:bCs w:val="false"/>
          <w:color w:val="611729"/>
          <w:sz w:val="22"/>
          <w:szCs w:val="22"/>
          <w:lang w:val="en-US"/>
        </w:rPr>
        <w:t>docх</w:t>
      </w:r>
      <w:r>
        <w:rPr>
          <w:rFonts w:cs="PT Astra Serif" w:ascii="Times New Roman" w:hAnsi="Times New Roman"/>
          <w:b w:val="false"/>
          <w:bCs w:val="false"/>
          <w:color w:val="611729"/>
          <w:sz w:val="22"/>
          <w:szCs w:val="22"/>
          <w:lang w:val="ru-RU"/>
        </w:rPr>
        <w:t>»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графики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зависимости напряжения </w:t>
      </w:r>
      <w:r>
        <w:rPr>
          <w:rFonts w:cs="PT Astra Serif" w:ascii="Times New Roman" w:hAnsi="Times New Roman"/>
          <w:b/>
          <w:bCs w:val="false"/>
          <w:sz w:val="22"/>
          <w:szCs w:val="22"/>
          <w:lang w:val="en-US"/>
        </w:rPr>
        <w:t>U</w:t>
      </w:r>
      <w:r>
        <w:rPr>
          <w:rFonts w:cs="PT Astra Serif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>и мощности</w:t>
      </w:r>
      <w:r>
        <w:rPr>
          <w:rFonts w:cs="PT Astra Serif" w:ascii="Times New Roman" w:hAnsi="Times New Roman"/>
          <w:b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 Р</w:t>
      </w:r>
      <w:r>
        <w:rPr>
          <w:rFonts w:cs="PT Astra Serif" w:ascii="Times New Roman" w:hAnsi="Times New Roman"/>
          <w:b/>
          <w:bCs w:val="false"/>
          <w:sz w:val="22"/>
          <w:szCs w:val="22"/>
          <w:vertAlign w:val="subscript"/>
          <w:lang w:val="ru-RU"/>
        </w:rPr>
        <w:t xml:space="preserve">н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>от</w:t>
      </w:r>
      <w:r>
        <w:rPr>
          <w:rFonts w:cs="PT Astra Serif" w:ascii="Times New Roman" w:hAnsi="Times New Roman"/>
          <w:b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тока нагрузки </w:t>
      </w:r>
      <w:r>
        <w:rPr>
          <w:rFonts w:cs="PT Astra Serif" w:ascii="Times New Roman" w:hAnsi="Times New Roman"/>
          <w:b/>
          <w:bCs w:val="false"/>
          <w:sz w:val="22"/>
          <w:szCs w:val="22"/>
          <w:lang w:val="en-US"/>
        </w:rPr>
        <w:t>I</w:t>
      </w:r>
      <w:r>
        <w:rPr>
          <w:rFonts w:cs="PT Astra Serif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на выходе  фотопреобразователя от при трёх значениях освещённости. Рекомендуется использовать файлы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«ЛР1фамилиягруппаВАХ.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en-US"/>
        </w:rPr>
        <w:t>xlsх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 xml:space="preserve">»,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«ЛР1фамилиягруппаМощн.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en-US"/>
        </w:rPr>
        <w:t>xlsх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» 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пошаговую инструкцию построения графиков, элементы которых представлены в строках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en-US"/>
        </w:rPr>
        <w:t>LibreOffice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en-US"/>
        </w:rPr>
        <w:t>Calc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[2], которая  скачивается, например,  из вводного модуля курса ЭСТ.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Вращая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против часовой стрелке 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ручку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R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переменного резистора лабораторного макета, 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 xml:space="preserve">измерьте и запишите в Таблицу 1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5-6 пар значений тока нагрузки и напряжения ФЭПП.  Верните ручку 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R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назад по часовой стрелке до упора. 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ЛР2. Исследование модели фотопреобрзователя. Электронное издание № 7500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Постройте в файле</w:t>
      </w:r>
      <w:r>
        <w:rPr>
          <w:rFonts w:cs="Times New Roman" w:ascii="Times New Roman" w:hAnsi="Times New Roman"/>
          <w:b w:val="false"/>
          <w:bCs w:val="false"/>
          <w:color w:val="611729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«ЛР2фамилиягруппаМощн.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en-US"/>
        </w:rPr>
        <w:t>xlsx</w:t>
      </w:r>
      <w:r>
        <w:rPr>
          <w:rFonts w:cs="PT Astra Serif" w:ascii="Times New Roman" w:hAnsi="Times New Roman"/>
          <w:b w:val="false"/>
          <w:bCs w:val="false"/>
          <w:color w:val="813709"/>
          <w:sz w:val="22"/>
          <w:szCs w:val="22"/>
          <w:lang w:val="ru-RU"/>
        </w:rPr>
        <w:t>»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632423"/>
          <w:sz w:val="22"/>
          <w:szCs w:val="22"/>
          <w:lang w:val="ru-RU"/>
        </w:rPr>
        <w:t>графики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(рис. 20, 21) зависимости напряжения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en-US"/>
        </w:rPr>
        <w:t>U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от тока нагрузки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en-US"/>
        </w:rPr>
        <w:t>I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и мощности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ru-RU"/>
        </w:rPr>
        <w:t>Р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>н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 от тока нагрузки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en-US"/>
        </w:rPr>
        <w:t>I</w:t>
      </w:r>
      <w:r>
        <w:rPr>
          <w:rFonts w:cs="Times New Roman" w:ascii="Times New Roman" w:hAnsi="Times New Roman"/>
          <w:b/>
          <w:bCs w:val="false"/>
          <w:sz w:val="22"/>
          <w:szCs w:val="22"/>
          <w:vertAlign w:val="subscript"/>
          <w:lang w:val="ru-RU"/>
        </w:rPr>
        <w:t xml:space="preserve">н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на выходе модели фотопреобразователя при трёх значениях освещённости (амплитуды напряжения 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en-US"/>
        </w:rPr>
        <w:t>V</w:t>
      </w:r>
      <w:r>
        <w:rPr>
          <w:rFonts w:cs="Times New Roman" w:ascii="Times New Roman" w:hAnsi="Times New Roman"/>
          <w:b w:val="false"/>
          <w:bCs w:val="false"/>
          <w:sz w:val="22"/>
          <w:szCs w:val="22"/>
          <w:lang w:val="ru-RU"/>
        </w:rPr>
        <w:t xml:space="preserve">1).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Рекомендуется использовать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инструкции построения графиков в Calc [2] и Excel [3]. </w:t>
      </w:r>
      <w:r>
        <w:rPr>
          <w:rFonts w:cs="PT Astra Serif" w:ascii="Times New Roman" w:hAnsi="Times New Roman"/>
          <w:b w:val="false"/>
          <w:bCs w:val="false"/>
          <w:color w:val="8D281E"/>
          <w:sz w:val="22"/>
          <w:szCs w:val="22"/>
          <w:lang w:val="ru-RU"/>
        </w:rPr>
        <w:t xml:space="preserve">Вставьте в файл 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>«ЛР2фамилиягруппа.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en-US"/>
        </w:rPr>
        <w:t>docх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 xml:space="preserve">» </w:t>
      </w:r>
      <w:r>
        <w:rPr>
          <w:rFonts w:cs="PT Astra Serif" w:ascii="Times New Roman" w:hAnsi="Times New Roman"/>
          <w:b w:val="false"/>
          <w:bCs w:val="false"/>
          <w:color w:val="auto"/>
          <w:sz w:val="22"/>
          <w:szCs w:val="22"/>
          <w:lang w:val="ru-RU"/>
        </w:rPr>
        <w:t>полученные графики.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ind w:left="0" w:right="57" w:hanging="0"/>
        <w:jc w:val="both"/>
        <w:rPr/>
      </w:pPr>
      <w:r>
        <w:rPr>
          <w:rFonts w:cs="Times New Roman" w:ascii="Times New Roman" w:hAnsi="Times New Roman"/>
          <w:color w:val="632423"/>
          <w:sz w:val="22"/>
          <w:szCs w:val="22"/>
          <w:lang w:val="ru-RU" w:eastAsia="ru-RU"/>
        </w:rPr>
        <w:t>Спроектируйте  модель</w:t>
      </w:r>
      <w:r>
        <w:rPr>
          <w:rFonts w:cs="Times New Roman" w:ascii="Times New Roman" w:hAnsi="Times New Roman"/>
          <w:sz w:val="22"/>
          <w:szCs w:val="22"/>
          <w:lang w:val="ru-RU" w:eastAsia="ru-RU"/>
        </w:rPr>
        <w:t xml:space="preserve">, представленную на рис. 1.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/>
        <w:drawing>
          <wp:inline distT="0" distB="0" distL="0" distR="0">
            <wp:extent cx="2886075" cy="1946275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57" t="-230" r="-157" b="-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firstLine="72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/>
          <w:bCs w:val="false"/>
          <w:iCs/>
          <w:sz w:val="22"/>
          <w:szCs w:val="22"/>
          <w:lang w:val="ru-RU"/>
        </w:rPr>
        <w:t>Тема 2. Накопители и преобразователи энергии (</w:t>
      </w:r>
      <w:r>
        <w:rPr>
          <w:rFonts w:cs="Times New Roman" w:ascii="Times New Roman" w:hAnsi="Times New Roman"/>
          <w:b/>
          <w:bCs w:val="false"/>
          <w:iCs/>
          <w:color w:val="000000"/>
          <w:sz w:val="22"/>
          <w:szCs w:val="22"/>
          <w:lang w:val="ru-RU"/>
        </w:rPr>
        <w:t>ПК-2.1-В,  ПК-3.2-В)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ЛР6. Исследование модели ионистора  Электронное издание № 7508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Style3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PT Astra Serif" w:ascii="Times New Roman" w:hAnsi="Times New Roman"/>
          <w:sz w:val="22"/>
          <w:szCs w:val="22"/>
          <w:lang w:val="ru-RU" w:eastAsia="ru-RU"/>
        </w:rPr>
        <w:t>Работа выполняется на компьютере в программе Micro-Cap согласно исходным данным. Исходные данные зависят от: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N</w:t>
      </w:r>
      <w:r>
        <w:rPr>
          <w:rFonts w:cs="Times New Roman" w:ascii="Times New Roman" w:hAnsi="Times New Roman"/>
          <w:sz w:val="22"/>
          <w:szCs w:val="22"/>
          <w:vertAlign w:val="subscript"/>
        </w:rPr>
        <w:t>гр</w:t>
      </w:r>
      <w:r>
        <w:rPr>
          <w:rFonts w:cs="Times New Roman" w:ascii="Times New Roman" w:hAnsi="Times New Roman"/>
          <w:sz w:val="22"/>
          <w:szCs w:val="22"/>
        </w:rPr>
        <w:t xml:space="preserve"> — правая цифра номера учебной группы;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- N</w:t>
      </w:r>
      <w:r>
        <w:rPr>
          <w:rFonts w:cs="Times New Roman" w:ascii="Times New Roman" w:hAnsi="Times New Roman"/>
          <w:sz w:val="22"/>
          <w:szCs w:val="22"/>
          <w:vertAlign w:val="subscript"/>
        </w:rPr>
        <w:t>жур</w:t>
      </w:r>
      <w:r>
        <w:rPr>
          <w:rFonts w:cs="Times New Roman" w:ascii="Times New Roman" w:hAnsi="Times New Roman"/>
          <w:sz w:val="22"/>
          <w:szCs w:val="22"/>
        </w:rPr>
        <w:t xml:space="preserve"> — порядковый номер студента в списке учебной группы у преподавателя (при необходимости уточните). 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color w:val="CE181E"/>
          <w:sz w:val="22"/>
          <w:szCs w:val="22"/>
        </w:rPr>
        <w:t>Рассчитайте</w:t>
      </w:r>
      <w:r>
        <w:rPr>
          <w:rFonts w:cs="Times New Roman" w:ascii="Times New Roman" w:hAnsi="Times New Roman"/>
          <w:sz w:val="22"/>
          <w:szCs w:val="22"/>
        </w:rPr>
        <w:t xml:space="preserve"> исходные данные для проектирования: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R3 = 100 + N</w:t>
      </w:r>
      <w:r>
        <w:rPr>
          <w:rFonts w:cs="Times New Roman" w:ascii="Times New Roman" w:hAnsi="Times New Roman"/>
          <w:b/>
          <w:bCs/>
          <w:sz w:val="22"/>
          <w:szCs w:val="22"/>
          <w:vertAlign w:val="subscript"/>
        </w:rPr>
        <w:t>гр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* 10,</w:t>
      </w:r>
      <w:r>
        <w:rPr>
          <w:rFonts w:cs="Times New Roman" w:ascii="Times New Roman" w:hAnsi="Times New Roman"/>
          <w:sz w:val="22"/>
          <w:szCs w:val="22"/>
        </w:rPr>
        <w:t xml:space="preserve">  Ом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ru-RU"/>
        </w:rPr>
        <w:t>R4 = 300 +  N</w:t>
      </w:r>
      <w:r>
        <w:rPr>
          <w:rFonts w:cs="Times New Roman" w:ascii="Times New Roman" w:hAnsi="Times New Roman"/>
          <w:b/>
          <w:bCs/>
          <w:sz w:val="22"/>
          <w:szCs w:val="22"/>
          <w:vertAlign w:val="subscript"/>
          <w:lang w:val="ru-RU"/>
        </w:rPr>
        <w:t>жур</w:t>
      </w:r>
      <w:r>
        <w:rPr>
          <w:rFonts w:cs="Times New Roman" w:ascii="Times New Roman" w:hAnsi="Times New Roman"/>
          <w:b/>
          <w:bCs/>
          <w:position w:val="0"/>
          <w:sz w:val="22"/>
          <w:sz w:val="22"/>
          <w:szCs w:val="22"/>
          <w:vertAlign w:val="baseline"/>
          <w:lang w:val="ru-RU"/>
        </w:rPr>
        <w:t xml:space="preserve"> * 10, </w:t>
      </w:r>
      <w:r>
        <w:rPr>
          <w:rFonts w:cs="Times New Roman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Ом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ind w:left="0" w:right="77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PT Astra Serif" w:ascii="Times New Roman" w:hAnsi="Times New Roman"/>
          <w:color w:val="CE181E"/>
          <w:sz w:val="22"/>
          <w:szCs w:val="22"/>
        </w:rPr>
        <w:t>Спроектируйте модель ионистора</w:t>
      </w:r>
      <w:r>
        <w:rPr>
          <w:rFonts w:cs="PT Astra Serif" w:ascii="Times New Roman" w:hAnsi="Times New Roman"/>
          <w:color w:val="auto"/>
          <w:sz w:val="22"/>
          <w:szCs w:val="22"/>
        </w:rPr>
        <w:t>,</w:t>
      </w:r>
      <w:r>
        <w:rPr>
          <w:rFonts w:cs="PT Astra Serif" w:ascii="Times New Roman" w:hAnsi="Times New Roman"/>
          <w:color w:val="CE181E"/>
          <w:sz w:val="22"/>
          <w:szCs w:val="22"/>
        </w:rPr>
        <w:t xml:space="preserve"> </w:t>
      </w:r>
      <w:r>
        <w:rPr>
          <w:rFonts w:cs="PT Astra Serif" w:ascii="Times New Roman" w:hAnsi="Times New Roman"/>
          <w:sz w:val="22"/>
          <w:szCs w:val="22"/>
        </w:rPr>
        <w:t>как на рис. 1. Если в результате сборки нумерация узлов не будет соответствовать схеме на рис. 1, полученную нумерацию узлов не изменяйте, внесите исправления в параметры анализа ниже (рис. 13, 14).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>Сохраните модель ионистора в файле «ЛР5фамилиягруппа.cir».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-11430</wp:posOffset>
            </wp:positionH>
            <wp:positionV relativeFrom="paragraph">
              <wp:posOffset>72390</wp:posOffset>
            </wp:positionV>
            <wp:extent cx="6497320" cy="2157095"/>
            <wp:effectExtent l="0" t="0" r="0" b="0"/>
            <wp:wrapSquare wrapText="largest"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0" w:right="77" w:hanging="0"/>
        <w:jc w:val="both"/>
        <w:rPr>
          <w:sz w:val="22"/>
          <w:szCs w:val="22"/>
        </w:rPr>
      </w:pPr>
      <w:r>
        <w:rPr>
          <w:rFonts w:cs="PT Astra Serif" w:ascii="Times New Roman" w:hAnsi="Times New Roman"/>
          <w:color w:val="CE181E"/>
          <w:sz w:val="22"/>
          <w:szCs w:val="22"/>
        </w:rPr>
        <w:t>Установите параметры анализа</w:t>
      </w:r>
      <w:r>
        <w:rPr>
          <w:rFonts w:cs="PT Astra Serif" w:ascii="Times New Roman" w:hAnsi="Times New Roman"/>
          <w:sz w:val="22"/>
          <w:szCs w:val="22"/>
        </w:rPr>
        <w:t xml:space="preserve"> модели ионистора. Первым должны воспроизводиться прямоугольные импульсы генератора V1 (на рис. 1 — точка 6  относительно «земли», затем по порядку — напряжения на каждом конденсаторе C1 - C4, последним — напряжение на нагрузке R6.  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>Подберите разные цвета для графиков.  Если у вас контрольные точки размещены по-другому — измените последовательность анализируемых напряжений.  Вставьте в файл «ЛР5фамилиягруппа.docx» параметры анализа.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113" w:hanging="0"/>
        <w:contextualSpacing/>
        <w:jc w:val="both"/>
        <w:rPr>
          <w:sz w:val="22"/>
          <w:szCs w:val="22"/>
        </w:rPr>
      </w:pPr>
      <w:r>
        <w:rPr>
          <w:rFonts w:cs="PT Astra Serif" w:ascii="Times New Roman" w:hAnsi="Times New Roman"/>
          <w:b w:val="false"/>
          <w:bCs w:val="false"/>
          <w:color w:val="3465A4"/>
          <w:sz w:val="22"/>
          <w:szCs w:val="22"/>
          <w:lang w:val="ru-RU"/>
        </w:rPr>
        <w:t>Определите зависимости времени окончания переходных процессов от сопротивления нагрузки ионистора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Последовательно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изменяя сопротивление нагрузки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R6 от 10 до 1000 Ом аналогично пунктам 19, 20, получите и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сохраните в файле «ЛР5фамилиягруппа.docx» временные диаграммы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(5 — 8) процессов заряда и разряда ионистора. При необходимости измените время анализа.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cs="PT Astra Serif"/>
        </w:rPr>
      </w:pPr>
      <w:r>
        <w:rPr>
          <w:rFonts w:cs="PT Astra Serif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По графикам рис. 15, 17, 19 - 23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определите зависимости постоянных времени переходных процессов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в элементах ионистора </w:t>
      </w:r>
      <w:r>
        <w:rPr>
          <w:rFonts w:cs="PT Astra Serif" w:ascii="Times New Roman" w:hAnsi="Times New Roman"/>
          <w:b w:val="false"/>
          <w:bCs w:val="false"/>
          <w:color w:val="CE181E"/>
          <w:sz w:val="22"/>
          <w:szCs w:val="22"/>
          <w:lang w:val="ru-RU"/>
        </w:rPr>
        <w:t>от сопротивления нагрузки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и занесите их в таблицу 1.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left="0" w:right="77" w:hanging="0"/>
        <w:contextualSpacing/>
        <w:jc w:val="both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ЛР8. Исследование сборщика энергии  Электронное издание № 7509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Style17"/>
        <w:widowControl/>
        <w:shd w:val="clear" w:fill="FFFFFF"/>
        <w:tabs>
          <w:tab w:val="clear" w:pos="851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 xml:space="preserve">Исследуйте зависимости входного тока 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lang w:val="ru-RU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vertAlign w:val="subscript"/>
          <w:lang w:val="ru-RU"/>
        </w:rPr>
        <w:t>вх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 xml:space="preserve"> от выходного 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lang w:val="ru-RU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vertAlign w:val="subscript"/>
          <w:lang w:val="ru-RU"/>
        </w:rPr>
        <w:t>вых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 xml:space="preserve"> при различных значениях величины входного напряжения 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lang w:val="ru-RU"/>
        </w:rPr>
        <w:t>U</w:t>
      </w:r>
      <w:r>
        <w:rPr>
          <w:rFonts w:cs="Times New Roman" w:ascii="Times New Roman" w:hAnsi="Times New Roman"/>
          <w:b/>
          <w:bCs/>
          <w:i w:val="false"/>
          <w:iCs w:val="false"/>
          <w:color w:val="5983B0"/>
          <w:sz w:val="22"/>
          <w:szCs w:val="22"/>
          <w:vertAlign w:val="subscript"/>
          <w:lang w:val="ru-RU"/>
        </w:rPr>
        <w:t>вх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5983B0"/>
          <w:sz w:val="22"/>
          <w:szCs w:val="22"/>
          <w:lang w:val="ru-RU"/>
        </w:rPr>
        <w:t>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Style17"/>
        <w:shd w:val="clear" w:fill="FFFFFF"/>
        <w:tabs>
          <w:tab w:val="clear" w:pos="851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C0504D"/>
          <w:sz w:val="22"/>
          <w:szCs w:val="22"/>
          <w:lang w:val="ru-RU"/>
        </w:rPr>
        <w:t>Вращая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по часовой стрелке 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C0504D"/>
          <w:sz w:val="22"/>
          <w:szCs w:val="22"/>
          <w:lang w:val="ru-RU"/>
        </w:rPr>
        <w:t xml:space="preserve">ручку  </w:t>
      </w:r>
      <w:r>
        <w:rPr>
          <w:rFonts w:cs="PT Astra Serif" w:ascii="Times New Roman" w:hAnsi="Times New Roman"/>
          <w:b/>
          <w:bCs/>
          <w:i w:val="false"/>
          <w:iCs w:val="false"/>
          <w:color w:val="C0504D"/>
          <w:sz w:val="22"/>
          <w:szCs w:val="22"/>
          <w:lang w:val="ru-RU"/>
        </w:rPr>
        <w:t>R</w:t>
      </w:r>
      <w:r>
        <w:rPr>
          <w:rFonts w:cs="PT Astra Serif" w:ascii="Times New Roman" w:hAnsi="Times New Roman"/>
          <w:b/>
          <w:bCs/>
          <w:i w:val="false"/>
          <w:iCs w:val="false"/>
          <w:color w:val="C0504D"/>
          <w:sz w:val="22"/>
          <w:szCs w:val="22"/>
          <w:vertAlign w:val="subscript"/>
          <w:lang w:val="ru-RU"/>
        </w:rPr>
        <w:t>н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 переменного резистора лабораторного макета, 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C0504D"/>
          <w:sz w:val="22"/>
          <w:szCs w:val="22"/>
          <w:lang w:val="ru-RU"/>
        </w:rPr>
        <w:t>измерьте и запишите в Таблицу 1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color w:val="813709"/>
          <w:sz w:val="22"/>
          <w:szCs w:val="22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i w:val="false"/>
          <w:iCs w:val="false"/>
          <w:sz w:val="22"/>
          <w:szCs w:val="22"/>
          <w:lang w:val="ru-RU"/>
        </w:rPr>
        <w:t xml:space="preserve"> 5-6  значений токов и напряжений сборщика энергии.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ind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PT Astra Serif" w:ascii="Times New Roman" w:hAnsi="Times New Roman"/>
          <w:color w:val="C0504D"/>
          <w:sz w:val="22"/>
          <w:szCs w:val="22"/>
        </w:rPr>
        <w:t xml:space="preserve">Рассчитайте </w:t>
      </w:r>
      <w:r>
        <w:rPr>
          <w:rFonts w:cs="PT Astra Serif" w:ascii="Times New Roman" w:hAnsi="Times New Roman"/>
          <w:sz w:val="22"/>
          <w:szCs w:val="22"/>
        </w:rPr>
        <w:t xml:space="preserve">значения мощностей </w:t>
      </w:r>
      <w:r>
        <w:rPr>
          <w:rFonts w:cs="PT Astra Serif" w:ascii="Times New Roman" w:hAnsi="Times New Roman"/>
          <w:b/>
          <w:color w:val="C0504D"/>
          <w:sz w:val="22"/>
          <w:szCs w:val="22"/>
        </w:rPr>
        <w:t>Р</w:t>
      </w:r>
      <w:r>
        <w:rPr>
          <w:rFonts w:cs="PT Astra Serif" w:ascii="Times New Roman" w:hAnsi="Times New Roman"/>
          <w:b/>
          <w:color w:val="C0504D"/>
          <w:sz w:val="22"/>
          <w:szCs w:val="22"/>
          <w:vertAlign w:val="subscript"/>
        </w:rPr>
        <w:t>н</w:t>
      </w:r>
      <w:r>
        <w:rPr>
          <w:rFonts w:cs="PT Astra Serif" w:ascii="Times New Roman" w:hAnsi="Times New Roman"/>
          <w:color w:val="C0504D"/>
          <w:sz w:val="22"/>
          <w:szCs w:val="22"/>
        </w:rPr>
        <w:t>,</w:t>
      </w:r>
      <w:r>
        <w:rPr>
          <w:rFonts w:cs="PT Astra Serif" w:ascii="Times New Roman" w:hAnsi="Times New Roman"/>
          <w:sz w:val="22"/>
          <w:szCs w:val="22"/>
        </w:rPr>
        <w:t xml:space="preserve"> выделяемых в нагрузке сборщика энергии, и входных </w:t>
      </w:r>
      <w:r>
        <w:rPr>
          <w:rFonts w:cs="PT Astra Serif" w:ascii="Times New Roman" w:hAnsi="Times New Roman"/>
          <w:b/>
          <w:bCs/>
          <w:color w:val="C0504D"/>
          <w:sz w:val="22"/>
          <w:szCs w:val="22"/>
        </w:rPr>
        <w:t>P</w:t>
      </w:r>
      <w:r>
        <w:rPr>
          <w:rFonts w:cs="PT Astra Serif" w:ascii="Times New Roman" w:hAnsi="Times New Roman"/>
          <w:b/>
          <w:bCs/>
          <w:color w:val="C0504D"/>
          <w:sz w:val="22"/>
          <w:szCs w:val="22"/>
          <w:vertAlign w:val="subscript"/>
        </w:rPr>
        <w:t>вх</w:t>
      </w:r>
      <w:r>
        <w:rPr>
          <w:rFonts w:cs="PT Astra Serif" w:ascii="Times New Roman" w:hAnsi="Times New Roman"/>
          <w:color w:val="C0504D"/>
          <w:sz w:val="22"/>
          <w:szCs w:val="22"/>
        </w:rPr>
        <w:t>,</w:t>
      </w:r>
      <w:r>
        <w:rPr>
          <w:rFonts w:cs="PT Astra Serif" w:ascii="Times New Roman" w:hAnsi="Times New Roman"/>
          <w:sz w:val="22"/>
          <w:szCs w:val="22"/>
        </w:rPr>
        <w:t xml:space="preserve"> для каждой пары значений  </w:t>
      </w:r>
      <w:r>
        <w:rPr>
          <w:rFonts w:cs="PT Astra Serif" w:ascii="Times New Roman" w:hAnsi="Times New Roman"/>
          <w:b/>
          <w:bCs/>
          <w:sz w:val="22"/>
          <w:szCs w:val="22"/>
        </w:rPr>
        <w:t>U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</w:rPr>
        <w:t>вх</w:t>
      </w:r>
      <w:r>
        <w:rPr>
          <w:rFonts w:cs="PT Astra Serif" w:ascii="Times New Roman" w:hAnsi="Times New Roman"/>
          <w:sz w:val="22"/>
          <w:szCs w:val="22"/>
        </w:rPr>
        <w:t xml:space="preserve">  и  </w:t>
      </w:r>
      <w:r>
        <w:rPr>
          <w:rFonts w:cs="PT Astra Serif" w:ascii="Times New Roman" w:hAnsi="Times New Roman"/>
          <w:b/>
          <w:bCs/>
          <w:sz w:val="22"/>
          <w:szCs w:val="22"/>
        </w:rPr>
        <w:t>I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</w:rPr>
        <w:t>вх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</w:rPr>
        <w:t xml:space="preserve">, 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bscript"/>
        </w:rPr>
        <w:t xml:space="preserve">вых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и 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>U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bscript"/>
        </w:rPr>
        <w:t>вых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= 12 В,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</w:rPr>
        <w:t xml:space="preserve">и 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</w:rPr>
        <w:t>впишите в таблицы 1 — 4.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>Рассчитайте зависимости</w:t>
      </w:r>
      <w:r>
        <w:rPr>
          <w:rFonts w:cs="PT Astra Serif" w:ascii="Times New Roman" w:hAnsi="Times New Roman"/>
          <w:b w:val="false"/>
          <w:bCs w:val="false"/>
          <w:color w:val="8D281E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КПД </w:t>
      </w:r>
      <w:r>
        <w:rPr>
          <w:rFonts w:eastAsia="Calibri"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 xml:space="preserve">η =  </w:t>
      </w:r>
      <w:r>
        <w:rPr>
          <w:rFonts w:eastAsia="Calibri" w:cs="PT Astra Serif" w:ascii="Times New Roman" w:hAnsi="Times New Roman"/>
          <w:b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>Р</w:t>
      </w:r>
      <w:r>
        <w:rPr>
          <w:rFonts w:eastAsia="Calibri" w:cs="PT Astra Serif" w:ascii="Times New Roman" w:hAnsi="Times New Roman"/>
          <w:b/>
          <w:bCs w:val="false"/>
          <w:color w:val="C0504D"/>
          <w:sz w:val="22"/>
          <w:szCs w:val="22"/>
          <w:vertAlign w:val="subscript"/>
          <w:lang w:val="ru-RU"/>
        </w:rPr>
        <w:t xml:space="preserve">н </w:t>
      </w:r>
      <w:r>
        <w:rPr>
          <w:rFonts w:eastAsia="Calibri" w:cs="PT Astra Serif" w:ascii="Times New Roman" w:hAnsi="Times New Roman"/>
          <w:b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 xml:space="preserve">/ </w:t>
      </w:r>
      <w:r>
        <w:rPr>
          <w:rFonts w:eastAsia="Calibri" w:cs="PT Astra Serif" w:ascii="Times New Roman" w:hAnsi="Times New Roman"/>
          <w:b/>
          <w:bCs/>
          <w:color w:val="C0504D"/>
          <w:position w:val="0"/>
          <w:sz w:val="22"/>
          <w:sz w:val="22"/>
          <w:szCs w:val="22"/>
          <w:vertAlign w:val="baseline"/>
          <w:lang w:val="ru-RU"/>
        </w:rPr>
        <w:t>P</w:t>
      </w:r>
      <w:r>
        <w:rPr>
          <w:rFonts w:eastAsia="Calibri" w:cs="PT Astra Serif" w:ascii="Times New Roman" w:hAnsi="Times New Roman"/>
          <w:b/>
          <w:bCs/>
          <w:color w:val="C0504D"/>
          <w:sz w:val="22"/>
          <w:szCs w:val="22"/>
          <w:vertAlign w:val="subscript"/>
          <w:lang w:val="ru-RU"/>
        </w:rPr>
        <w:t xml:space="preserve">вх </w:t>
      </w:r>
      <w:r>
        <w:rPr>
          <w:rFonts w:eastAsia="Calibri" w:cs="PT Astra Serif" w:ascii="Times New Roman" w:hAnsi="Times New Roman"/>
          <w:b/>
          <w:bCs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eastAsia="Calibri" w:cs="PT Astra Serif" w:ascii="Times New Roman" w:hAnsi="Times New Roman"/>
          <w:b w:val="false"/>
          <w:bCs w:val="false"/>
          <w:color w:val="auto"/>
          <w:position w:val="0"/>
          <w:sz w:val="22"/>
          <w:sz w:val="22"/>
          <w:szCs w:val="22"/>
          <w:vertAlign w:val="baseline"/>
          <w:lang w:val="ru-RU"/>
        </w:rPr>
        <w:t>от тока нагрузки</w:t>
      </w:r>
      <w:r>
        <w:rPr>
          <w:rFonts w:eastAsia="Calibri" w:cs="PT Astra Serif" w:ascii="Times New Roman" w:hAnsi="Times New Roman"/>
          <w:b/>
          <w:bCs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C0504D"/>
          <w:position w:val="0"/>
          <w:sz w:val="22"/>
          <w:sz w:val="22"/>
          <w:szCs w:val="22"/>
          <w:u w:val="none"/>
          <w:vertAlign w:val="baseline"/>
          <w:lang w:val="ru-RU"/>
        </w:rPr>
        <w:t>I</w:t>
      </w:r>
      <w:r>
        <w:rPr>
          <w:rFonts w:eastAsia="Calibri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C0504D"/>
          <w:sz w:val="22"/>
          <w:szCs w:val="22"/>
          <w:u w:val="none"/>
          <w:vertAlign w:val="subscript"/>
          <w:lang w:val="ru-RU"/>
        </w:rPr>
        <w:t>вых</w:t>
      </w:r>
      <w:r>
        <w:rPr>
          <w:rFonts w:eastAsia="Calibri" w:cs="PT Astra Serif" w:ascii="Times New Roman" w:hAnsi="Times New Roman"/>
          <w:b/>
          <w:bCs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  </w:t>
      </w:r>
      <w:r>
        <w:rPr>
          <w:rFonts w:eastAsia="Calibri" w:cs="PT Astra Serif" w:ascii="Times New Roman" w:hAnsi="Times New Roman"/>
          <w:b w:val="false"/>
          <w:bCs w:val="false"/>
          <w:color w:val="auto"/>
          <w:position w:val="0"/>
          <w:sz w:val="22"/>
          <w:sz w:val="22"/>
          <w:szCs w:val="22"/>
          <w:vertAlign w:val="baseline"/>
          <w:lang w:val="ru-RU"/>
        </w:rPr>
        <w:t xml:space="preserve">для всех значений  тока нагрузки   и </w:t>
      </w:r>
      <w:r>
        <w:rPr>
          <w:rFonts w:eastAsia="Calibri" w:cs="PT Astra Serif" w:ascii="Times New Roman" w:hAnsi="Times New Roman"/>
          <w:b w:val="false"/>
          <w:bCs w:val="false"/>
          <w:color w:val="C0504D"/>
          <w:position w:val="0"/>
          <w:sz w:val="22"/>
          <w:sz w:val="22"/>
          <w:szCs w:val="22"/>
          <w:vertAlign w:val="baseline"/>
          <w:lang w:val="ru-RU"/>
        </w:rPr>
        <w:t xml:space="preserve">впишите в таблицы 1-4. 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lang w:val="ru-RU"/>
        </w:rPr>
      </w:pP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>Постройте в файле «ЛР9фамилиягруппаТок.x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en-US"/>
        </w:rPr>
        <w:t>lsx</w:t>
      </w:r>
      <w:r>
        <w:rPr>
          <w:rFonts w:cs="PT Astra Serif" w:ascii="Times New Roman" w:hAnsi="Times New Roman"/>
          <w:b w:val="false"/>
          <w:bCs w:val="false"/>
          <w:color w:val="C0504D"/>
          <w:sz w:val="22"/>
          <w:szCs w:val="22"/>
          <w:lang w:val="ru-RU"/>
        </w:rPr>
        <w:t>» графики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зависимости входного тока сборщика энергии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I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вх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  <w:lang w:val="ru-RU"/>
        </w:rPr>
        <w:t xml:space="preserve">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от выходного 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vertAlign w:val="baseline"/>
          <w:lang w:val="ru-RU"/>
        </w:rPr>
        <w:t>I</w:t>
      </w:r>
      <w:r>
        <w:rPr>
          <w:rFonts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vertAlign w:val="subscript"/>
          <w:lang w:val="ru-RU"/>
        </w:rPr>
        <w:t>вых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 при заданном входном напряжении </w:t>
      </w:r>
      <w:r>
        <w:rPr>
          <w:rFonts w:cs="PT Astra Serif" w:ascii="Times New Roman" w:hAnsi="Times New Roman"/>
          <w:b/>
          <w:bCs/>
          <w:sz w:val="22"/>
          <w:szCs w:val="22"/>
          <w:lang w:val="ru-RU"/>
        </w:rPr>
        <w:t>U</w:t>
      </w:r>
      <w:r>
        <w:rPr>
          <w:rFonts w:cs="PT Astra Serif" w:ascii="Times New Roman" w:hAnsi="Times New Roman"/>
          <w:b/>
          <w:bCs/>
          <w:sz w:val="22"/>
          <w:szCs w:val="22"/>
          <w:vertAlign w:val="subscript"/>
          <w:lang w:val="ru-RU"/>
        </w:rPr>
        <w:t>вх</w:t>
      </w:r>
      <w:r>
        <w:rPr>
          <w:rFonts w:cs="PT Astra Serif" w:ascii="Times New Roman" w:hAnsi="Times New Roman"/>
          <w:b/>
          <w:bCs/>
          <w:position w:val="0"/>
          <w:sz w:val="22"/>
          <w:sz w:val="22"/>
          <w:szCs w:val="22"/>
          <w:vertAlign w:val="baseline"/>
          <w:lang w:val="ru-RU"/>
        </w:rPr>
        <w:t xml:space="preserve">, </w:t>
      </w:r>
      <w:r>
        <w:rPr>
          <w:rFonts w:cs="PT Astra Serif" w:ascii="Times New Roman" w:hAnsi="Times New Roman"/>
          <w:b w:val="false"/>
          <w:bCs w:val="false"/>
          <w:position w:val="0"/>
          <w:sz w:val="22"/>
          <w:sz w:val="22"/>
          <w:szCs w:val="22"/>
          <w:vertAlign w:val="baseline"/>
          <w:lang w:val="ru-RU"/>
        </w:rPr>
        <w:t xml:space="preserve">как на рис. 8.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Рекомендуется использовать пошаговую инструкцию построения графиков в одних осях 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en-US"/>
        </w:rPr>
        <w:t>LibreOffice</w:t>
      </w:r>
      <w:r>
        <w:rPr>
          <w:rFonts w:cs="PT Astra Serif" w:ascii="Times New Roman" w:hAnsi="Times New Roman"/>
          <w:b w:val="false"/>
          <w:bCs w:val="false"/>
          <w:sz w:val="22"/>
          <w:szCs w:val="22"/>
          <w:lang w:val="ru-RU"/>
        </w:rPr>
        <w:t xml:space="preserve"> Calc [3],  которая  скачивается, например,  из вводного модуля курса ЭСТ.</w:t>
      </w:r>
    </w:p>
    <w:p>
      <w:pPr>
        <w:pStyle w:val="24"/>
        <w:shd w:val="clear" w:fill="FFFFFF"/>
        <w:tabs>
          <w:tab w:val="clear" w:pos="708"/>
          <w:tab w:val="left" w:pos="0" w:leader="none"/>
        </w:tabs>
        <w:spacing w:lineRule="auto" w:line="240" w:before="0" w:after="0"/>
        <w:ind w:right="-2" w:hanging="0"/>
        <w:contextualSpacing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p>
      <w:pPr>
        <w:pStyle w:val="Normal"/>
        <w:rPr/>
      </w:pPr>
      <w:r>
        <w:rPr>
          <w:i/>
          <w:sz w:val="22"/>
          <w:szCs w:val="22"/>
        </w:rPr>
        <w:t>б) описание шкалы оценивания</w:t>
      </w:r>
    </w:p>
    <w:p>
      <w:pPr>
        <w:pStyle w:val="Normal"/>
        <w:rPr/>
      </w:pPr>
      <w:r>
        <w:rPr>
          <w:bCs/>
          <w:sz w:val="22"/>
          <w:szCs w:val="22"/>
        </w:rPr>
        <w:t>По каждой лабораторной работе предусмотрено тестирование по 20 вопросам. За каждый ответ максимально начисляется 0,25 балла:</w:t>
      </w:r>
    </w:p>
    <w:p>
      <w:pPr>
        <w:pStyle w:val="Normal"/>
        <w:tabs>
          <w:tab w:val="clear" w:pos="708"/>
          <w:tab w:val="left" w:pos="1985" w:leader="none"/>
        </w:tabs>
        <w:suppressAutoHyphens w:val="false"/>
        <w:spacing w:before="0" w:after="0"/>
        <w:ind w:left="720" w:hanging="0"/>
        <w:contextualSpacing/>
        <w:jc w:val="left"/>
        <w:rPr/>
      </w:pPr>
      <w:r>
        <w:rPr>
          <w:rFonts w:eastAsia="Calibri;Calibri"/>
          <w:iCs/>
          <w:sz w:val="22"/>
          <w:szCs w:val="22"/>
        </w:rPr>
        <w:t>0,25 балла</w:t>
      </w:r>
      <w:r>
        <w:rPr>
          <w:rFonts w:eastAsia="Calibri;Calibri"/>
          <w:sz w:val="22"/>
          <w:szCs w:val="22"/>
        </w:rPr>
        <w:tab/>
        <w:t xml:space="preserve">– </w:t>
      </w:r>
      <w:r>
        <w:rPr>
          <w:sz w:val="22"/>
          <w:szCs w:val="22"/>
        </w:rPr>
        <w:t>ответ полностью правильный</w:t>
      </w:r>
    </w:p>
    <w:p>
      <w:pPr>
        <w:pStyle w:val="Normal"/>
        <w:tabs>
          <w:tab w:val="clear" w:pos="708"/>
          <w:tab w:val="left" w:pos="1985" w:leader="none"/>
        </w:tabs>
        <w:suppressAutoHyphens w:val="false"/>
        <w:spacing w:before="0" w:after="0"/>
        <w:ind w:left="720" w:hanging="0"/>
        <w:contextualSpacing/>
        <w:jc w:val="left"/>
        <w:rPr/>
      </w:pPr>
      <w:r>
        <w:rPr>
          <w:rFonts w:eastAsia="Calibri;Calibri"/>
          <w:iCs/>
          <w:sz w:val="22"/>
          <w:szCs w:val="22"/>
        </w:rPr>
        <w:t>0,15 балла</w:t>
        <w:tab/>
      </w:r>
      <w:r>
        <w:rPr>
          <w:rFonts w:eastAsia="Calibri;Calibri"/>
          <w:sz w:val="22"/>
          <w:szCs w:val="22"/>
        </w:rPr>
        <w:t xml:space="preserve">– </w:t>
      </w:r>
      <w:r>
        <w:rPr>
          <w:sz w:val="22"/>
          <w:szCs w:val="22"/>
        </w:rPr>
        <w:t xml:space="preserve">ответ </w:t>
      </w:r>
      <w:r>
        <w:rPr>
          <w:bCs/>
          <w:sz w:val="22"/>
          <w:szCs w:val="22"/>
        </w:rPr>
        <w:t>неполный (частично правильный)</w:t>
      </w:r>
    </w:p>
    <w:p>
      <w:pPr>
        <w:pStyle w:val="Normal"/>
        <w:tabs>
          <w:tab w:val="clear" w:pos="708"/>
          <w:tab w:val="left" w:pos="1985" w:leader="none"/>
        </w:tabs>
        <w:suppressAutoHyphens w:val="false"/>
        <w:spacing w:before="0" w:after="0"/>
        <w:ind w:left="720" w:hanging="0"/>
        <w:contextualSpacing/>
        <w:jc w:val="left"/>
        <w:rPr/>
      </w:pPr>
      <w:r>
        <w:rPr>
          <w:rFonts w:eastAsia="Calibri;Calibri"/>
          <w:iCs/>
          <w:sz w:val="22"/>
          <w:szCs w:val="22"/>
        </w:rPr>
        <w:t>0 баллов</w:t>
        <w:tab/>
      </w:r>
      <w:r>
        <w:rPr>
          <w:rFonts w:eastAsia="Calibri;Calibri"/>
          <w:sz w:val="22"/>
          <w:szCs w:val="22"/>
        </w:rPr>
        <w:t xml:space="preserve">– </w:t>
      </w:r>
      <w:r>
        <w:rPr>
          <w:sz w:val="22"/>
          <w:szCs w:val="22"/>
        </w:rPr>
        <w:t>ответ неправильный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/>
      </w:pPr>
      <w:r>
        <w:rPr/>
        <w:t xml:space="preserve">Максимально по всем темам студент может набрать </w:t>
      </w:r>
      <w:r>
        <w:rPr/>
        <w:t>4</w:t>
      </w:r>
      <w:r>
        <w:rPr/>
        <w:t>0 баллов.</w:t>
      </w:r>
    </w:p>
    <w:tbl>
      <w:tblPr>
        <w:tblW w:w="9706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2324"/>
        <w:gridCol w:w="7381"/>
      </w:tblGrid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32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- 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40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баллов 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25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-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31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балла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24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а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>
        <w:trPr/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0-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23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а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96" w:leader="none"/>
              </w:tabs>
              <w:suppressAutoHyphens w:val="false"/>
              <w:spacing w:before="0" w:after="0"/>
              <w:ind w:left="0" w:hanging="0"/>
              <w:contextualSpacing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Style231"/>
        <w:widowControl/>
        <w:ind w:left="709" w:hanging="0"/>
        <w:rPr/>
      </w:pPr>
      <w:r>
        <w:rPr>
          <w:rStyle w:val="FontStyle134"/>
          <w:i/>
        </w:rPr>
        <w:t>4.3. Промежуточная аттестация (зачет)</w:t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По дисциплине зачет является элементом контроля теоретических знаний студента. Форма проведения зачета – тестирование или письменный ответ на билет. В структуру билета включаются 2 теоретических вопроса.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i/>
          <w:i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а) типовые вопросы на письменный ответ совпадают с типовыми контрольными вопросами.</w:t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1. Первичные источники энергии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ПК-2.1-В,  ПК-3.2-З, ПК-3.2-У, ПК-3.2-В)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Зарядка аккумуляторов с помощью солнечных батарей.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Принцип действия, основные параметры и эквивалентная  схема фотоэлектрического полупроводникового преобразователя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3. Понятие атмосферной массы  в солнечной энергетике. Стандартный солнечный спектр.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4. Наземные космические и фотоэлектрические  преобразователи с концентраторами излучения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Подбор и расчёт системы на солнечных батареях.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6.Элемент Пельтье как источник питания  беспроводных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7. Методика расчёта, обзор конструкций и компоновка микро ГЭС.</w:t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8. Гидроэлектрогенераторы (гидроэлектроустановки).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9. Световая характеристика фотоэлектрических преобразователей.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10. Начертите  и объясните зависимость мощности в нагрузке от тока фотоэлектрического преобразователя.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11. Начертите  и объясните зависимость мощности в нагрузке от освещенности  фотоэлектрического преобразователя.</w:t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Cs/>
          <w:color w:val="000000"/>
          <w:sz w:val="22"/>
          <w:szCs w:val="22"/>
        </w:rPr>
        <w:t>12. Начертите эквивалентную схему фотоэлектрического преобразователя</w:t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iCs/>
          <w:color w:val="000000"/>
          <w:sz w:val="22"/>
          <w:szCs w:val="22"/>
        </w:rPr>
      </w:r>
    </w:p>
    <w:p>
      <w:pPr>
        <w:pStyle w:val="Normal"/>
        <w:shd w:val="clear" w:fill="FFFFFF"/>
        <w:tabs>
          <w:tab w:val="clear" w:pos="708"/>
          <w:tab w:val="left" w:pos="1853" w:leader="none"/>
        </w:tabs>
        <w:ind w:firstLine="720"/>
        <w:rPr/>
      </w:pPr>
      <w:r>
        <w:rPr>
          <w:b/>
          <w:iCs/>
          <w:sz w:val="22"/>
          <w:szCs w:val="22"/>
        </w:rPr>
        <w:t>Тема 2. Накопители и преобразователи энергии  (</w:t>
      </w:r>
      <w:r>
        <w:rPr>
          <w:rFonts w:cs="Times New Roman" w:ascii="Times New Roman" w:hAnsi="Times New Roman"/>
          <w:b/>
          <w:iCs/>
          <w:color w:val="000000"/>
          <w:sz w:val="22"/>
          <w:szCs w:val="22"/>
        </w:rPr>
        <w:t>ПК-2.1-З,  ПК-2.1-У,  ПК-2.1-В,  ПК-3.2-З, ПК-3.2-У, ПК-3.2-В)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Беспроводное питание и зарядка, назначение,  достоинства и недостатки.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2. Регулировка мощности беспроводных зарядных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3. Как устроены зарядные  устройства в  виде  ковриков.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2"/>
          <w:szCs w:val="22"/>
        </w:rPr>
        <w:t>4. Зарядные устройства с использованием радиочастот.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Современные аккумуляторы.  Классификация аккумуляторов.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6. Свинцово-кислотные аккумуляторы (SLA).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7. Гелевые аккумуляторы.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8. Никель-кадмиевые аккумуляторы (NiCd)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9. Эффект памяти в аккумуляторах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10. Никель-металлгидридные аккумуляторы (NiMH)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11. Общие рекомендации по зарядке аккумуляторов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12.  Литий-ионные аккумуляторы (Li-Ion).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13 Устройство и принцип действия 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14. Начертите эквивалентную  схему ионистора.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15. Почему после снятия  нагрузки с ионистора происходит увеличение его напряжения?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16 Почему после отключения  зарядного устойства  от ионистора происходит уменьшение его напряжения, а затем стабилизация?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17. Как определить  сопротивление утечки 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18. Как рассчитать время работы ионистора в качестве резервного источника питания?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19. Начертите схему включения ионистора в качестве  бесперебойного источника питания.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2"/>
          <w:szCs w:val="22"/>
        </w:rPr>
        <w:t>20. Какое напряжения допустимо для ионистора?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cs="Times New Roman" w:ascii="Times New Roman" w:hAnsi="Times New Roman"/>
          <w:iCs/>
          <w:color w:val="000000"/>
          <w:sz w:val="22"/>
          <w:szCs w:val="22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1853" w:leader="none"/>
        </w:tabs>
        <w:suppressAutoHyphens w:val="false"/>
        <w:bidi w:val="0"/>
        <w:spacing w:lineRule="auto" w:line="240" w:before="0" w:after="0"/>
        <w:ind w:firstLine="72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/>
          <w:sz w:val="22"/>
          <w:szCs w:val="22"/>
        </w:rPr>
      </w:pPr>
      <w:r>
        <w:rPr>
          <w:rFonts w:cs="Times New Roman" w:ascii="Times New Roman" w:hAnsi="Times New Roman"/>
          <w:b/>
          <w:bCs w:val="false"/>
          <w:i w:val="false"/>
          <w:iCs/>
          <w:color w:val="000000"/>
          <w:sz w:val="22"/>
          <w:szCs w:val="22"/>
        </w:rPr>
        <w:t>Тема 3. Интернет вещей  (ПК-2.1-З,  ПК-2.1-У,  ПК-2.1-В,  ПК-3.2-З, ПК-3.2-У, ПК-3.2-В)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1. Интернет вещей, его назначение, задачи,  цели,  организация и примеры реализации.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2. Значение  беспроводных технологий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3. Роль беспроводных сетей в интернете вещей. Средства измерения,  идентификации  и передачи данных в интернете вещей.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4.  Средства передачи данных  в интернете вещей.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5. Примеры реализации проектов  типа «Умный дом»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6 Аппаратное обеспечение Bluetooth.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7. Infrared Data Association. 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8. Беспроводное питание и зарядка, назначение,  достоинства и недостатки.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2"/>
          <w:szCs w:val="22"/>
        </w:rPr>
        <w:t>9. Регулировка мощности беспроводных зарядных устройств.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10. Зарядные устройства с использованием радиочастот.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11. Что такое беспроводная локальная сеть (WLAN). Каковы преимущества использования WLAN вместо проводной локальной сети?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12.Что такое физический уровень стандарта IEEE 802.11  и что   он определяет.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13.  Канальный (Data Link) уровень 802.11 и из чего он состоит и как функционирует.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14. Как производится подключение к сети клиента в точке доступа.</w:t>
      </w:r>
    </w:p>
    <w:p>
      <w:pPr>
        <w:pStyle w:val="Normal"/>
        <w:widowControl w:val="false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15.Управление питанием в беспроводных устройствах.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iCs/>
          <w:color w:val="000000"/>
          <w:sz w:val="22"/>
          <w:szCs w:val="22"/>
        </w:rPr>
        <w:t>16. Как устроен беспроводной датчик контроля окружающей среды для беспроводной сети субгигагерцевого диапазона со сверхнизким потреблением энергии.</w:t>
      </w:r>
    </w:p>
    <w:p>
      <w:pPr>
        <w:pStyle w:val="Style17"/>
        <w:widowControl w:val="false"/>
        <w:tabs>
          <w:tab w:val="clear" w:pos="851"/>
          <w:tab w:val="left" w:pos="993" w:leader="none"/>
        </w:tabs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>
          <w:i w:val="false"/>
          <w:i w:val="false"/>
          <w:sz w:val="22"/>
          <w:szCs w:val="22"/>
        </w:rPr>
      </w:pPr>
      <w:r>
        <w:rPr>
          <w:i w:val="false"/>
          <w:sz w:val="22"/>
          <w:szCs w:val="22"/>
        </w:rPr>
      </w:r>
    </w:p>
    <w:p>
      <w:pPr>
        <w:pStyle w:val="FR2"/>
        <w:spacing w:lineRule="auto" w:line="240"/>
        <w:ind w:firstLine="720"/>
        <w:rPr/>
      </w:pPr>
      <w:r>
        <w:rPr>
          <w:rFonts w:cs="Times New Roman;Times New Roman" w:ascii="Times New Roman;Times New Roman" w:hAnsi="Times New Roman;Times New Roman"/>
          <w:i/>
          <w:sz w:val="22"/>
          <w:szCs w:val="22"/>
        </w:rPr>
        <w:t>б) описание шкалы оценивания:</w:t>
      </w:r>
    </w:p>
    <w:p>
      <w:pPr>
        <w:pStyle w:val="FR2"/>
        <w:spacing w:lineRule="auto" w:line="240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  <w:r>
        <w:rPr>
          <w:rFonts w:cs="Times New Roman;Times New Roman" w:ascii="Times New Roman;Times New Roman" w:hAnsi="Times New Roman;Times New Roman"/>
          <w:sz w:val="22"/>
          <w:szCs w:val="22"/>
        </w:rPr>
        <w:t>При оценке студента на зачете используется балльно-рейтинговая система. Зачет оценивается из 20 баллов.</w:t>
      </w:r>
    </w:p>
    <w:tbl>
      <w:tblPr>
        <w:tblW w:w="9565" w:type="dxa"/>
        <w:jc w:val="left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2325"/>
        <w:gridCol w:w="7239"/>
      </w:tblGrid>
      <w:tr>
        <w:trPr>
          <w:tblHeader w:val="true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Fonts w:eastAsia="Calibri;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17 - 20 баллов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правильно, аргументировано ответил на все вопросы зачёта, с приведением примеров;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Дополнительным условием могут стать хорошие успехи при выполнении  лабораторных работ, систематическая активная работа на лекциях.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13 - 16 баллов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правильно, аргументировано ответил на большинство вопросов зачёта, с приведением примеров;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12 баллов</w:t>
            </w:r>
          </w:p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(</w:t>
            </w:r>
            <w:r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справился с 60% вопросов и заданий,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>
        <w:trPr/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eastAsia="Calibri;Calibri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eastAsia="Calibri;Calibri"/>
                <w:b/>
                <w:i/>
                <w:iCs/>
                <w:sz w:val="22"/>
                <w:szCs w:val="22"/>
              </w:rPr>
              <w:t>0 — 11 баллов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rFonts w:eastAsia="Calibri;Calibri"/>
                <w:sz w:val="22"/>
                <w:szCs w:val="22"/>
              </w:rPr>
            </w:pPr>
            <w:r>
              <w:rPr>
                <w:rFonts w:eastAsia="Calibri;Calibri"/>
                <w:sz w:val="22"/>
                <w:szCs w:val="22"/>
              </w:rPr>
              <w:t>Студент не справился с 60% вопросов и заданий зачёта или отказался отвечать на вопросы в билете.</w:t>
            </w:r>
          </w:p>
        </w:tc>
      </w:tr>
    </w:tbl>
    <w:p>
      <w:pPr>
        <w:pStyle w:val="Style231"/>
        <w:widowControl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Составил:</w:t>
      </w:r>
    </w:p>
    <w:p>
      <w:pPr>
        <w:pStyle w:val="Normal"/>
        <w:ind w:hanging="0"/>
        <w:rPr/>
      </w:pPr>
      <w:r>
        <w:rPr>
          <w:sz w:val="22"/>
          <w:szCs w:val="22"/>
        </w:rPr>
        <w:t xml:space="preserve">к.т.н., доцент,  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доцент кафедры РТУ </w:t>
        <w:tab/>
        <w:tab/>
        <w:tab/>
        <w:t>________________   /А.Н. Крюков/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/>
      </w:pPr>
      <w:r>
        <w:rPr>
          <w:sz w:val="22"/>
          <w:szCs w:val="22"/>
        </w:rPr>
        <w:t>Зав. кафедрой РТУ</w:t>
        <w:tab/>
        <w:tab/>
        <w:tab/>
        <w:t xml:space="preserve">________________   /Ю.Н. Паршин/ </w:t>
      </w:r>
    </w:p>
    <w:sectPr>
      <w:type w:val="continuous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1769" w:hanging="10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2"/>
        <w:szCs w:val="22"/>
        <w:rFonts w:cs="Symbol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rFonts w:cs="Symbol;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firstLine="709"/>
      <w:contextualSpacing/>
      <w:jc w:val="both"/>
    </w:pPr>
    <w:rPr>
      <w:rFonts w:ascii="Times New Roman;Times New Roman" w:hAnsi="Times New Roman;Times New Roman" w:eastAsia="Times New Roman;Times New Roman" w:cs="Times New Roman;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851" w:leader="none"/>
      </w:tabs>
      <w:outlineLvl w:val="0"/>
    </w:pPr>
    <w:rPr>
      <w:b/>
      <w:szCs w:val="20"/>
    </w:rPr>
  </w:style>
  <w:style w:type="paragraph" w:styleId="2">
    <w:name w:val="Heading 2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1"/>
    </w:pPr>
    <w:rPr>
      <w:b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3"/>
    </w:pPr>
    <w:rPr>
      <w:b/>
      <w:szCs w:val="20"/>
    </w:rPr>
  </w:style>
  <w:style w:type="paragraph" w:styleId="5">
    <w:name w:val="Heading 5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4"/>
    </w:pPr>
    <w:rPr>
      <w:i/>
      <w:szCs w:val="20"/>
    </w:rPr>
  </w:style>
  <w:style w:type="paragraph" w:styleId="6">
    <w:name w:val="Heading 6"/>
    <w:basedOn w:val="Normal"/>
    <w:next w:val="Normal"/>
    <w:qFormat/>
    <w:pPr>
      <w:keepNext w:val="true"/>
      <w:tabs>
        <w:tab w:val="clear" w:pos="708"/>
        <w:tab w:val="left" w:pos="851" w:leader="none"/>
      </w:tabs>
      <w:jc w:val="both"/>
      <w:outlineLvl w:val="5"/>
    </w:pPr>
    <w:rPr>
      <w:szCs w:val="20"/>
    </w:rPr>
  </w:style>
  <w:style w:type="paragraph" w:styleId="7">
    <w:name w:val="Heading 7"/>
    <w:basedOn w:val="Normal"/>
    <w:next w:val="Normal"/>
    <w:qFormat/>
    <w:pPr>
      <w:keepNext w:val="true"/>
      <w:tabs>
        <w:tab w:val="clear" w:pos="708"/>
        <w:tab w:val="left" w:pos="851" w:leader="none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Normal"/>
    <w:next w:val="Normal"/>
    <w:qFormat/>
    <w:pPr>
      <w:keepNext w:val="true"/>
      <w:tabs>
        <w:tab w:val="clear" w:pos="708"/>
        <w:tab w:val="left" w:pos="851" w:leader="none"/>
      </w:tabs>
      <w:jc w:val="center"/>
      <w:outlineLvl w:val="7"/>
    </w:pPr>
    <w:rPr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;Symbol" w:hAnsi="Symbol;Symbol" w:cs="Times New Roman;Times New Roman"/>
      <w:b w:val="false"/>
      <w:i w:val="false"/>
      <w:sz w:val="2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;Symbol" w:hAnsi="Symbol;Symbol" w:cs="Symbol;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;Symbol" w:hAnsi="Symbol;Symbol" w:cs="Symbol;Symbol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i w:val="false"/>
      <w:sz w:val="22"/>
      <w:szCs w:val="22"/>
      <w:lang w:val="ru-RU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i w:val="false"/>
      <w:sz w:val="22"/>
      <w:szCs w:val="22"/>
      <w:lang w:val="ru-RU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;Symbol" w:hAnsi="Symbol;Symbol" w:eastAsia="Calibri;Calibri" w:cs="Symbol;Symbol"/>
      <w:sz w:val="22"/>
      <w:szCs w:val="2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i w:val="false"/>
      <w:sz w:val="22"/>
      <w:szCs w:val="22"/>
      <w:lang w:val="ru-RU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i w:val="false"/>
      <w:sz w:val="22"/>
      <w:szCs w:val="22"/>
      <w:lang w:val="ru-RU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;Symbol" w:hAnsi="Symbol;Symbol" w:cs="Symbol;Symbol"/>
      <w:sz w:val="22"/>
      <w:szCs w:val="22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Symbol;Symbol" w:hAnsi="Symbol;Symbol" w:cs="Symbol;Symbol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i w:val="false"/>
      <w:sz w:val="22"/>
      <w:szCs w:val="22"/>
      <w:lang w:val="ru-RU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sz w:val="24"/>
      <w:lang w:val="ru-RU" w:bidi="ru-RU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;Symbol" w:hAnsi="Symbol;Symbol" w:cs="Symbol;Symbol"/>
    </w:rPr>
  </w:style>
  <w:style w:type="character" w:styleId="WW8Num22z0">
    <w:name w:val="WW8Num22z0"/>
    <w:qFormat/>
    <w:rPr>
      <w:rFonts w:ascii="Symbol;Symbol" w:hAnsi="Symbol;Symbol" w:cs="Symbol;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i w:val="false"/>
      <w:sz w:val="22"/>
      <w:szCs w:val="22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i w:val="false"/>
      <w:sz w:val="22"/>
      <w:szCs w:val="22"/>
      <w:lang w:val="ru-RU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;Symbol" w:hAnsi="Symbol;Symbol" w:cs="Times New Roman;Times New Roman"/>
      <w:b w:val="false"/>
      <w:i w:val="false"/>
      <w:sz w:val="22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;Symbol" w:hAnsi="Symbol;Symbol" w:cs="Symbol;Symbol"/>
    </w:rPr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i w:val="false"/>
      <w:sz w:val="22"/>
      <w:szCs w:val="22"/>
      <w:lang w:val="ru-RU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i w:val="false"/>
      <w:sz w:val="22"/>
      <w:szCs w:val="22"/>
      <w:lang w:val="ru-RU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i w:val="false"/>
      <w:sz w:val="22"/>
      <w:szCs w:val="22"/>
      <w:lang w:val="ru-RU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i w:val="false"/>
      <w:sz w:val="22"/>
      <w:szCs w:val="22"/>
      <w:lang w:val="ru-RU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Style6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;Symbol" w:hAnsi="Symbol;Symbol" w:cs="Symbol;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bCs/>
      <w:color w:val="000000"/>
      <w:spacing w:val="2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St8z0">
    <w:name w:val="WW8NumSt8z0"/>
    <w:qFormat/>
    <w:rPr>
      <w:rFonts w:ascii="Times New Roman;Times New Roman" w:hAnsi="Times New Roman;Times New Roman" w:cs="Times New Roman;Times New Roman"/>
    </w:rPr>
  </w:style>
  <w:style w:type="character" w:styleId="WW8NumSt9z0">
    <w:name w:val="WW8NumSt9z0"/>
    <w:qFormat/>
    <w:rPr>
      <w:rFonts w:ascii="Times New Roman;Times New Roman" w:hAnsi="Times New Roman;Times New Roman" w:cs="Times New Roman;Times New Roman"/>
    </w:rPr>
  </w:style>
  <w:style w:type="character" w:styleId="WW8NumSt10z0">
    <w:name w:val="WW8NumSt10z0"/>
    <w:qFormat/>
    <w:rPr>
      <w:rFonts w:ascii="Times New Roman;Times New Roman" w:hAnsi="Times New Roman;Times New Roman" w:cs="Times New Roman;Times New Roman"/>
    </w:rPr>
  </w:style>
  <w:style w:type="character" w:styleId="21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Style7">
    <w:name w:val="Номер страницы"/>
    <w:basedOn w:val="11"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yle8">
    <w:name w:val="Интернет-ссылка"/>
    <w:rPr>
      <w:color w:val="0000FF"/>
      <w:u w:val="single"/>
    </w:rPr>
  </w:style>
  <w:style w:type="character" w:styleId="Style9">
    <w:name w:val="Нумеровный Знак"/>
    <w:qFormat/>
    <w:rPr>
      <w:sz w:val="24"/>
    </w:rPr>
  </w:style>
  <w:style w:type="character" w:styleId="Style10">
    <w:name w:val="Верхний колонтитул Знак"/>
    <w:qFormat/>
    <w:rPr>
      <w:sz w:val="24"/>
      <w:szCs w:val="24"/>
    </w:rPr>
  </w:style>
  <w:style w:type="character" w:styleId="ListParagraphChar">
    <w:name w:val="List Paragraph Char"/>
    <w:qFormat/>
    <w:rPr>
      <w:sz w:val="28"/>
      <w:szCs w:val="22"/>
      <w:lang w:val="ru-RU" w:bidi="ar-SA"/>
    </w:rPr>
  </w:style>
  <w:style w:type="character" w:styleId="Style1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22">
    <w:name w:val="Заголовок 2 Знак"/>
    <w:qFormat/>
    <w:rPr>
      <w:b/>
      <w:sz w:val="24"/>
    </w:rPr>
  </w:style>
  <w:style w:type="character" w:styleId="Style12">
    <w:name w:val="Основной текст Знак"/>
    <w:qFormat/>
    <w:rPr>
      <w:i/>
      <w:sz w:val="24"/>
    </w:rPr>
  </w:style>
  <w:style w:type="character" w:styleId="FontStyle133">
    <w:name w:val="Font Style133"/>
    <w:qFormat/>
    <w:rPr>
      <w:rFonts w:ascii="Times New Roman;Times New Roman" w:hAnsi="Times New Roman;Times New Roman" w:cs="Times New Roman;Times New Roman"/>
      <w:b/>
      <w:bCs/>
      <w:i/>
      <w:iCs/>
      <w:sz w:val="18"/>
      <w:szCs w:val="18"/>
    </w:rPr>
  </w:style>
  <w:style w:type="character" w:styleId="FontStyle138">
    <w:name w:val="Font Style138"/>
    <w:qFormat/>
    <w:rPr>
      <w:rFonts w:ascii="Times New Roman;Times New Roman" w:hAnsi="Times New Roman;Times New Roman" w:cs="Times New Roman;Times New Roman"/>
      <w:i/>
      <w:iCs/>
      <w:sz w:val="22"/>
      <w:szCs w:val="22"/>
    </w:rPr>
  </w:style>
  <w:style w:type="character" w:styleId="FontStyle130">
    <w:name w:val="Font Style130"/>
    <w:qFormat/>
    <w:rPr>
      <w:rFonts w:ascii="Times New Roman;Times New Roman" w:hAnsi="Times New Roman;Times New Roman" w:cs="Times New Roman;Times New Roman"/>
      <w:i/>
      <w:iCs/>
      <w:sz w:val="26"/>
      <w:szCs w:val="26"/>
    </w:rPr>
  </w:style>
  <w:style w:type="character" w:styleId="FontStyle134">
    <w:name w:val="Font Style134"/>
    <w:qFormat/>
    <w:rPr>
      <w:rFonts w:ascii="Times New Roman;Times New Roman" w:hAnsi="Times New Roman;Times New Roman" w:cs="Times New Roman;Times New Roman"/>
      <w:b/>
      <w:bCs/>
      <w:sz w:val="22"/>
      <w:szCs w:val="22"/>
    </w:rPr>
  </w:style>
  <w:style w:type="character" w:styleId="FontStyle141">
    <w:name w:val="Font Style141"/>
    <w:qFormat/>
    <w:rPr>
      <w:rFonts w:ascii="Times New Roman;Times New Roman" w:hAnsi="Times New Roman;Times New Roman" w:cs="Times New Roman;Times New Roman"/>
      <w:b/>
      <w:bCs/>
      <w:i/>
      <w:iCs/>
      <w:sz w:val="26"/>
      <w:szCs w:val="26"/>
    </w:rPr>
  </w:style>
  <w:style w:type="character" w:styleId="FontStyle137">
    <w:name w:val="Font Style137"/>
    <w:qFormat/>
    <w:rPr>
      <w:rFonts w:ascii="Times New Roman;Times New Roman" w:hAnsi="Times New Roman;Times New Roman" w:cs="Times New Roman;Times New Roman"/>
      <w:sz w:val="22"/>
      <w:szCs w:val="22"/>
    </w:rPr>
  </w:style>
  <w:style w:type="character" w:styleId="111">
    <w:name w:val="Основной текст + 11"/>
    <w:qFormat/>
    <w:rPr>
      <w:rFonts w:ascii="Times New Roman;Times New Roman" w:hAnsi="Times New Roman;Times New Roman" w:cs="Times New Roman;Times New Roman"/>
      <w:sz w:val="23"/>
      <w:szCs w:val="23"/>
      <w:u w:val="none"/>
    </w:rPr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Текст примечания Знак"/>
    <w:qFormat/>
    <w:rPr/>
  </w:style>
  <w:style w:type="character" w:styleId="Docman">
    <w:name w:val="docman"/>
    <w:qFormat/>
    <w:rPr/>
  </w:style>
  <w:style w:type="character" w:styleId="Style15">
    <w:name w:val="Выделение жирным"/>
    <w:qFormat/>
    <w:rPr>
      <w:b/>
      <w:bCs/>
    </w:rPr>
  </w:style>
  <w:style w:type="character" w:styleId="ListLabel1">
    <w:name w:val="ListLabel 1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2">
    <w:name w:val="ListLabel 2"/>
    <w:qFormat/>
    <w:rPr>
      <w:rFonts w:cs="Symbol;Symbol"/>
      <w:sz w:val="22"/>
      <w:szCs w:val="22"/>
    </w:rPr>
  </w:style>
  <w:style w:type="character" w:styleId="ListLabel3">
    <w:name w:val="ListLabel 3"/>
    <w:qFormat/>
    <w:rPr>
      <w:i w:val="false"/>
      <w:sz w:val="22"/>
      <w:szCs w:val="22"/>
      <w:lang w:val="ru-RU"/>
    </w:rPr>
  </w:style>
  <w:style w:type="character" w:styleId="ListLabel4">
    <w:name w:val="ListLabel 4"/>
    <w:qFormat/>
    <w:rPr>
      <w:sz w:val="24"/>
      <w:lang w:val="ru-RU" w:bidi="ru-RU"/>
    </w:rPr>
  </w:style>
  <w:style w:type="character" w:styleId="ListLabel5">
    <w:name w:val="ListLabel 5"/>
    <w:qFormat/>
    <w:rPr>
      <w:i w:val="false"/>
      <w:sz w:val="22"/>
      <w:szCs w:val="22"/>
    </w:rPr>
  </w:style>
  <w:style w:type="character" w:styleId="ListLabel6">
    <w:name w:val="ListLabel 6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7">
    <w:name w:val="ListLabel 7"/>
    <w:qFormat/>
    <w:rPr>
      <w:rFonts w:cs="Symbol;Symbol"/>
      <w:sz w:val="22"/>
      <w:szCs w:val="22"/>
    </w:rPr>
  </w:style>
  <w:style w:type="character" w:styleId="ListLabel8">
    <w:name w:val="ListLabel 8"/>
    <w:qFormat/>
    <w:rPr>
      <w:rFonts w:ascii="Times New Roman;Times New Roman" w:hAnsi="Times New Roman;Times New Roman" w:cs="Times New Roman;Times New Roman"/>
      <w:sz w:val="22"/>
      <w:szCs w:val="22"/>
    </w:rPr>
  </w:style>
  <w:style w:type="character" w:styleId="ListLabel9">
    <w:name w:val="ListLabel 9"/>
    <w:qFormat/>
    <w:rPr>
      <w:rFonts w:ascii="Times New Roman;Times New Roman" w:hAnsi="Times New Roman;Times New Roman" w:cs="Symbol;Symbol"/>
      <w:sz w:val="22"/>
      <w:szCs w:val="22"/>
    </w:rPr>
  </w:style>
  <w:style w:type="character" w:styleId="ListLabel10">
    <w:name w:val="ListLabel 10"/>
    <w:qFormat/>
    <w:rPr>
      <w:rFonts w:cs="Symbol;Symbol"/>
      <w:sz w:val="22"/>
      <w:szCs w:val="22"/>
    </w:rPr>
  </w:style>
  <w:style w:type="character" w:styleId="ListLabel11">
    <w:name w:val="ListLabel 11"/>
    <w:qFormat/>
    <w:rPr>
      <w:rFonts w:ascii="Times New Roman;Times New Roman" w:hAnsi="Times New Roman;Times New Roman" w:cs="Times New Roman;Times New Roman"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  <w:contextualSpacing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tabs>
        <w:tab w:val="clear" w:pos="708"/>
        <w:tab w:val="left" w:pos="851" w:leader="none"/>
      </w:tabs>
      <w:jc w:val="both"/>
    </w:pPr>
    <w:rPr>
      <w:i/>
      <w:szCs w:val="20"/>
      <w:lang w:val="ru-RU"/>
    </w:rPr>
  </w:style>
  <w:style w:type="paragraph" w:styleId="Style18">
    <w:name w:val="List"/>
    <w:basedOn w:val="Style17"/>
    <w:pPr/>
    <w:rPr>
      <w:rFonts w:ascii="Arial" w:hAnsi="Arial" w:cs="Tahoma"/>
    </w:rPr>
  </w:style>
  <w:style w:type="paragraph" w:styleId="Style19">
    <w:name w:val="Caption"/>
    <w:basedOn w:val="Normal"/>
    <w:qFormat/>
    <w:pPr>
      <w:suppressLineNumbers/>
      <w:spacing w:before="120" w:after="120"/>
      <w:contextualSpacing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  <w:contextualSpacing/>
    </w:pPr>
    <w:rPr>
      <w:rFonts w:ascii="Arial" w:hAnsi="Arial" w:cs="Tahoma"/>
      <w:i/>
      <w:iCs/>
      <w:sz w:val="20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Textlist">
    <w:name w:val="Text list"/>
    <w:basedOn w:val="Normal"/>
    <w:qFormat/>
    <w:pPr>
      <w:widowControl w:val="false"/>
    </w:pPr>
    <w:rPr>
      <w:color w:val="000000"/>
      <w:szCs w:val="20"/>
    </w:rPr>
  </w:style>
  <w:style w:type="paragraph" w:styleId="Style22">
    <w:name w:val="Текст"/>
    <w:basedOn w:val="Normal"/>
    <w:qFormat/>
    <w:pPr>
      <w:tabs>
        <w:tab w:val="clear" w:pos="708"/>
        <w:tab w:val="left" w:pos="709" w:leader="none"/>
      </w:tabs>
      <w:ind w:left="0" w:right="0" w:firstLine="709"/>
      <w:jc w:val="both"/>
    </w:pPr>
    <w:rPr>
      <w:szCs w:val="20"/>
    </w:rPr>
  </w:style>
  <w:style w:type="paragraph" w:styleId="Style23">
    <w:name w:val="Пробел"/>
    <w:qFormat/>
    <w:pPr>
      <w:widowControl/>
      <w:suppressAutoHyphens w:val="true"/>
      <w:bidi w:val="0"/>
      <w:spacing w:lineRule="exact" w:line="100"/>
      <w:jc w:val="left"/>
    </w:pPr>
    <w:rPr>
      <w:rFonts w:ascii="Times New Roman;Times New Roman" w:hAnsi="Times New Roman;Times New Roman" w:eastAsia="Arial" w:cs="Times New Roman;Times New Roman"/>
      <w:color w:val="auto"/>
      <w:kern w:val="0"/>
      <w:sz w:val="20"/>
      <w:szCs w:val="20"/>
      <w:lang w:val="ru-RU" w:eastAsia="zh-CN" w:bidi="ar-SA"/>
    </w:rPr>
  </w:style>
  <w:style w:type="paragraph" w:styleId="Style24">
    <w:name w:val="Body Text Indent"/>
    <w:basedOn w:val="Normal"/>
    <w:pPr>
      <w:ind w:left="0" w:right="0" w:firstLine="720"/>
      <w:jc w:val="both"/>
    </w:pPr>
    <w:rPr/>
  </w:style>
  <w:style w:type="paragraph" w:styleId="211">
    <w:name w:val="Основной текст 21"/>
    <w:basedOn w:val="Normal"/>
    <w:qFormat/>
    <w:pPr>
      <w:jc w:val="both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Мой формат"/>
    <w:basedOn w:val="Normal"/>
    <w:qFormat/>
    <w:pPr>
      <w:keepLines/>
      <w:spacing w:before="0" w:after="120"/>
      <w:contextualSpacing/>
    </w:pPr>
    <w:rPr>
      <w:szCs w:val="20"/>
      <w:lang w:val="en-US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29">
    <w:name w:val="Содержимое врезки"/>
    <w:basedOn w:val="Style17"/>
    <w:qFormat/>
    <w:pPr/>
    <w:rPr/>
  </w:style>
  <w:style w:type="paragraph" w:styleId="31">
    <w:name w:val="Основной текст 31"/>
    <w:basedOn w:val="Normal"/>
    <w:qFormat/>
    <w:pPr>
      <w:spacing w:before="0" w:after="120"/>
      <w:contextualSpacing/>
    </w:pPr>
    <w:rPr>
      <w:sz w:val="16"/>
      <w:szCs w:val="16"/>
    </w:rPr>
  </w:style>
  <w:style w:type="paragraph" w:styleId="WWDefault">
    <w:name w:val="WW-Default"/>
    <w:qFormat/>
    <w:pPr>
      <w:widowControl/>
      <w:suppressAutoHyphens w:val="true"/>
      <w:bidi w:val="0"/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kern w:val="0"/>
      <w:sz w:val="24"/>
      <w:szCs w:val="24"/>
      <w:lang w:val="ru-RU" w:eastAsia="zh-CN" w:bidi="ar-SA"/>
    </w:rPr>
  </w:style>
  <w:style w:type="paragraph" w:styleId="Style30">
    <w:name w:val="Абзац списка"/>
    <w:basedOn w:val="Normal"/>
    <w:qFormat/>
    <w:pPr>
      <w:tabs>
        <w:tab w:val="clear" w:pos="708"/>
        <w:tab w:val="right" w:pos="8505" w:leader="underscore"/>
      </w:tabs>
      <w:spacing w:lineRule="auto" w:line="276" w:before="0" w:after="200"/>
      <w:ind w:left="720" w:hanging="0"/>
      <w:contextualSpacing/>
      <w:jc w:val="left"/>
    </w:pPr>
    <w:rPr>
      <w:rFonts w:ascii="Calibri;Calibri" w:hAnsi="Calibri;Calibri" w:eastAsia="Calibri;Calibri" w:cs="Calibri;Calibri"/>
      <w:sz w:val="22"/>
      <w:szCs w:val="22"/>
      <w:lang w:eastAsia="zh-CN"/>
    </w:rPr>
  </w:style>
  <w:style w:type="paragraph" w:styleId="Default">
    <w:name w:val="Default"/>
    <w:qFormat/>
    <w:pPr>
      <w:widowControl/>
      <w:bidi w:val="0"/>
      <w:jc w:val="left"/>
    </w:pPr>
    <w:rPr>
      <w:rFonts w:ascii="Arial" w:hAnsi="Arial" w:eastAsia="Times New Roman;Times New Roman" w:cs="Arial"/>
      <w:color w:val="000000"/>
      <w:kern w:val="0"/>
      <w:sz w:val="24"/>
      <w:szCs w:val="24"/>
      <w:lang w:val="ru-RU" w:eastAsia="zh-CN" w:bidi="ar-SA"/>
    </w:rPr>
  </w:style>
  <w:style w:type="paragraph" w:styleId="Style31">
    <w:name w:val="список с точками"/>
    <w:basedOn w:val="Normal"/>
    <w:qFormat/>
    <w:pPr>
      <w:tabs>
        <w:tab w:val="clear" w:pos="708"/>
        <w:tab w:val="right" w:pos="8505" w:leader="underscore"/>
      </w:tabs>
      <w:spacing w:lineRule="auto" w:line="312" w:before="0" w:after="0"/>
      <w:ind w:left="792" w:hanging="360"/>
      <w:contextualSpacing/>
    </w:pPr>
    <w:rPr>
      <w:lang w:eastAsia="zh-CN"/>
    </w:rPr>
  </w:style>
  <w:style w:type="paragraph" w:styleId="Style32">
    <w:name w:val="Нумеровный"/>
    <w:basedOn w:val="Normal"/>
    <w:qFormat/>
    <w:pPr>
      <w:suppressAutoHyphens w:val="false"/>
      <w:spacing w:before="0" w:after="0"/>
      <w:contextualSpacing/>
    </w:pPr>
    <w:rPr>
      <w:szCs w:val="20"/>
      <w:lang w:val="ru-RU"/>
    </w:rPr>
  </w:style>
  <w:style w:type="paragraph" w:styleId="ListParagraph">
    <w:name w:val="List Paragraph"/>
    <w:basedOn w:val="Normal"/>
    <w:qFormat/>
    <w:pPr>
      <w:suppressAutoHyphens w:val="false"/>
      <w:ind w:left="720" w:firstLine="709"/>
    </w:pPr>
    <w:rPr>
      <w:sz w:val="28"/>
      <w:szCs w:val="22"/>
    </w:rPr>
  </w:style>
  <w:style w:type="paragraph" w:styleId="14">
    <w:name w:val="TOC 1"/>
    <w:basedOn w:val="Normal"/>
    <w:next w:val="Normal"/>
    <w:pPr>
      <w:tabs>
        <w:tab w:val="clear" w:pos="708"/>
        <w:tab w:val="right" w:pos="6114" w:leader="dot"/>
      </w:tabs>
      <w:suppressAutoHyphens w:val="false"/>
      <w:spacing w:before="0" w:after="0"/>
      <w:ind w:hanging="0"/>
      <w:contextualSpacing/>
      <w:jc w:val="left"/>
    </w:pPr>
    <w:rPr>
      <w:sz w:val="20"/>
    </w:rPr>
  </w:style>
  <w:style w:type="paragraph" w:styleId="23">
    <w:name w:val="TOC 2"/>
    <w:basedOn w:val="Normal"/>
    <w:next w:val="Normal"/>
    <w:pPr>
      <w:ind w:left="240" w:firstLine="709"/>
    </w:pPr>
    <w:rPr/>
  </w:style>
  <w:style w:type="paragraph" w:styleId="TOAHeading">
    <w:name w:val="TOA Heading"/>
    <w:basedOn w:val="1"/>
    <w:next w:val="Normal"/>
    <w:qFormat/>
    <w:pPr>
      <w:keepLines/>
      <w:numPr>
        <w:ilvl w:val="0"/>
        <w:numId w:val="0"/>
      </w:numPr>
      <w:tabs>
        <w:tab w:val="clear" w:pos="851"/>
      </w:tabs>
      <w:suppressAutoHyphens w:val="false"/>
      <w:spacing w:lineRule="auto" w:line="276" w:before="480" w:after="0"/>
      <w:ind w:hanging="0"/>
      <w:contextualSpacing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Style33">
    <w:name w:val="Название объекта"/>
    <w:basedOn w:val="Normal"/>
    <w:next w:val="Normal"/>
    <w:qFormat/>
    <w:pPr>
      <w:suppressAutoHyphens w:val="false"/>
      <w:spacing w:before="0" w:after="200"/>
      <w:ind w:hanging="0"/>
      <w:contextualSpacing/>
      <w:jc w:val="left"/>
    </w:pPr>
    <w:rPr>
      <w:rFonts w:ascii="Calibri;Calibri" w:hAnsi="Calibri;Calibri" w:eastAsia="Calibri;Calibri" w:cs="Calibri;Calibri"/>
      <w:b/>
      <w:bCs/>
      <w:color w:val="4F81BD"/>
      <w:sz w:val="18"/>
      <w:szCs w:val="18"/>
    </w:rPr>
  </w:style>
  <w:style w:type="paragraph" w:styleId="Style34">
    <w:name w:val="для таблиц"/>
    <w:basedOn w:val="Normal"/>
    <w:qFormat/>
    <w:pPr>
      <w:widowControl w:val="false"/>
      <w:spacing w:lineRule="auto" w:line="360" w:before="120" w:after="120"/>
      <w:ind w:hanging="0"/>
      <w:contextualSpacing/>
    </w:pPr>
    <w:rPr>
      <w:rFonts w:eastAsia="Calibri;Calibri"/>
      <w:color w:val="000000"/>
      <w:sz w:val="28"/>
      <w:szCs w:val="28"/>
    </w:rPr>
  </w:style>
  <w:style w:type="paragraph" w:styleId="Style3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15">
    <w:name w:val="Текст1"/>
    <w:basedOn w:val="Normal"/>
    <w:qFormat/>
    <w:pPr>
      <w:spacing w:lineRule="auto" w:line="300" w:before="0" w:after="200"/>
      <w:ind w:firstLine="760"/>
      <w:contextualSpacing/>
      <w:jc w:val="left"/>
    </w:pPr>
    <w:rPr>
      <w:rFonts w:ascii="Courier New" w:hAnsi="Courier New" w:eastAsia="Calibri;Calibri" w:cs="Calibri;Calibri"/>
      <w:sz w:val="22"/>
      <w:szCs w:val="22"/>
    </w:rPr>
  </w:style>
  <w:style w:type="paragraph" w:styleId="Msonormalmailrucssattributepostfix">
    <w:name w:val="msonormal_mailru_css_attribute_postfix"/>
    <w:basedOn w:val="Normal"/>
    <w:qFormat/>
    <w:pPr>
      <w:suppressAutoHyphens w:val="false"/>
      <w:spacing w:before="280" w:after="280"/>
      <w:ind w:hanging="0"/>
      <w:contextualSpacing/>
      <w:jc w:val="left"/>
    </w:pPr>
    <w:rPr/>
  </w:style>
  <w:style w:type="paragraph" w:styleId="Style97">
    <w:name w:val="Style97"/>
    <w:basedOn w:val="Normal"/>
    <w:qFormat/>
    <w:pPr>
      <w:widowControl w:val="false"/>
      <w:suppressAutoHyphens w:val="false"/>
      <w:spacing w:lineRule="exact" w:line="298" w:before="0" w:after="0"/>
      <w:ind w:hanging="0"/>
      <w:contextualSpacing/>
      <w:jc w:val="left"/>
    </w:pPr>
    <w:rPr/>
  </w:style>
  <w:style w:type="paragraph" w:styleId="FR2">
    <w:name w:val="FR2"/>
    <w:qFormat/>
    <w:pPr>
      <w:widowControl w:val="false"/>
      <w:suppressAutoHyphens w:val="true"/>
      <w:bidi w:val="0"/>
      <w:spacing w:lineRule="auto" w:line="312"/>
      <w:ind w:firstLine="460"/>
      <w:jc w:val="both"/>
    </w:pPr>
    <w:rPr>
      <w:rFonts w:ascii="Courier New" w:hAnsi="Courier New" w:eastAsia="Times New Roman;Times New Roman" w:cs="Calibri;Calibri"/>
      <w:color w:val="auto"/>
      <w:kern w:val="0"/>
      <w:sz w:val="18"/>
      <w:szCs w:val="20"/>
      <w:lang w:val="ru-RU" w:eastAsia="zh-CN" w:bidi="ar-SA"/>
    </w:rPr>
  </w:style>
  <w:style w:type="paragraph" w:styleId="Style95">
    <w:name w:val="Style95"/>
    <w:basedOn w:val="Normal"/>
    <w:qFormat/>
    <w:pPr>
      <w:widowControl w:val="false"/>
      <w:suppressAutoHyphens w:val="false"/>
      <w:spacing w:lineRule="exact" w:line="355" w:before="0" w:after="0"/>
      <w:ind w:hanging="374"/>
      <w:contextualSpacing/>
      <w:jc w:val="left"/>
    </w:pPr>
    <w:rPr/>
  </w:style>
  <w:style w:type="paragraph" w:styleId="Style60">
    <w:name w:val="Style60"/>
    <w:basedOn w:val="Normal"/>
    <w:qFormat/>
    <w:pPr>
      <w:widowControl w:val="false"/>
      <w:suppressAutoHyphens w:val="false"/>
      <w:spacing w:lineRule="exact" w:line="322" w:before="0" w:after="0"/>
      <w:ind w:hanging="509"/>
      <w:contextualSpacing/>
      <w:jc w:val="left"/>
    </w:pPr>
    <w:rPr/>
  </w:style>
  <w:style w:type="paragraph" w:styleId="Style51">
    <w:name w:val="Style5"/>
    <w:basedOn w:val="Normal"/>
    <w:qFormat/>
    <w:pPr>
      <w:widowControl w:val="false"/>
      <w:suppressAutoHyphens w:val="false"/>
      <w:spacing w:before="0" w:after="0"/>
      <w:ind w:hanging="0"/>
      <w:contextualSpacing/>
      <w:jc w:val="left"/>
    </w:pPr>
    <w:rPr/>
  </w:style>
  <w:style w:type="paragraph" w:styleId="Style231">
    <w:name w:val="Style23"/>
    <w:basedOn w:val="Normal"/>
    <w:qFormat/>
    <w:pPr>
      <w:widowControl w:val="false"/>
      <w:suppressAutoHyphens w:val="false"/>
      <w:spacing w:before="0" w:after="0"/>
      <w:ind w:hanging="0"/>
      <w:contextualSpacing/>
      <w:jc w:val="left"/>
    </w:pPr>
    <w:rPr/>
  </w:style>
  <w:style w:type="paragraph" w:styleId="Style511">
    <w:name w:val="Style51"/>
    <w:basedOn w:val="Normal"/>
    <w:qFormat/>
    <w:pPr>
      <w:widowControl w:val="false"/>
      <w:suppressAutoHyphens w:val="false"/>
      <w:spacing w:lineRule="exact" w:line="274" w:before="0" w:after="0"/>
      <w:ind w:hanging="0"/>
      <w:contextualSpacing/>
      <w:jc w:val="left"/>
    </w:pPr>
    <w:rPr/>
  </w:style>
  <w:style w:type="paragraph" w:styleId="Style63">
    <w:name w:val="Style63"/>
    <w:basedOn w:val="Normal"/>
    <w:qFormat/>
    <w:pPr>
      <w:widowControl w:val="false"/>
      <w:suppressAutoHyphens w:val="false"/>
      <w:spacing w:before="0" w:after="0"/>
      <w:ind w:hanging="0"/>
      <w:contextualSpacing/>
      <w:jc w:val="left"/>
    </w:pPr>
    <w:rPr/>
  </w:style>
  <w:style w:type="paragraph" w:styleId="Style71">
    <w:name w:val="Style7"/>
    <w:basedOn w:val="Normal"/>
    <w:qFormat/>
    <w:pPr>
      <w:suppressAutoHyphens w:val="false"/>
      <w:spacing w:lineRule="auto" w:line="276" w:before="0" w:after="200"/>
      <w:ind w:hanging="0"/>
      <w:contextualSpacing/>
      <w:jc w:val="left"/>
    </w:pPr>
    <w:rPr>
      <w:rFonts w:ascii="Calibri;Calibri" w:hAnsi="Calibri;Calibri" w:eastAsia="Calibri;Calibri" w:cs="Calibri;Calibri"/>
    </w:rPr>
  </w:style>
  <w:style w:type="paragraph" w:styleId="24">
    <w:name w:val="Заголовок №2"/>
    <w:basedOn w:val="Normal"/>
    <w:qFormat/>
    <w:pPr>
      <w:widowControl w:val="false"/>
      <w:shd w:val="clear" w:fill="FFFFFF"/>
      <w:spacing w:lineRule="exact" w:line="322" w:before="840" w:after="840"/>
      <w:ind w:hanging="400"/>
      <w:contextualSpacing/>
      <w:jc w:val="left"/>
    </w:pPr>
    <w:rPr>
      <w:b/>
      <w:bCs/>
      <w:sz w:val="26"/>
      <w:szCs w:val="26"/>
      <w:shd w:fill="FFFFFF" w:val="clear"/>
      <w:lang w:val="ru-RU" w:eastAsia="ru-RU"/>
    </w:rPr>
  </w:style>
  <w:style w:type="paragraph" w:styleId="Style36">
    <w:name w:val="Текст примечания"/>
    <w:basedOn w:val="Normal"/>
    <w:qFormat/>
    <w:pPr/>
    <w:rPr>
      <w:sz w:val="20"/>
      <w:szCs w:val="20"/>
      <w:lang w:val="ru-RU"/>
    </w:rPr>
  </w:style>
  <w:style w:type="paragraph" w:styleId="Style37">
    <w:name w:val="Обычный (веб)"/>
    <w:basedOn w:val="Normal"/>
    <w:qFormat/>
    <w:pPr>
      <w:suppressAutoHyphens w:val="false"/>
      <w:spacing w:before="280" w:after="280"/>
      <w:ind w:hanging="0"/>
      <w:contextualSpacing/>
      <w:jc w:val="left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do.rsreu.ru/course/view.php?id=247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image" Target="media/image12.png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Application>LibreOffice/6.1.5.2$Linux_X86_64 LibreOffice_project/10$Build-2</Application>
  <Pages>15</Pages>
  <Words>3786</Words>
  <Characters>26922</Characters>
  <CharactersWithSpaces>30632</CharactersWithSpaces>
  <Paragraphs>420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2017-12-22T17:23:00Z</dcterms:created>
  <dc:creator>Gromov</dc:creator>
  <dc:description/>
  <dc:language>ru-RU</dc:language>
  <cp:lastModifiedBy/>
  <cp:lastPrinted>2017-05-10T10:26:00Z</cp:lastPrinted>
  <dcterms:modified xsi:type="dcterms:W3CDTF">2023-07-19T11:51:43Z</dcterms:modified>
  <cp:revision>64</cp:revision>
  <dc:subject/>
  <dc:title>МИНИСТЕРСТВО ОБРАЗОВАНИЯ РОССИЙСКОЙ ФЕДЕРАЦИИ</dc:title>
</cp:coreProperties>
</file>