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5" w:rsidRPr="00226D55" w:rsidRDefault="00226D55" w:rsidP="00226D55">
      <w:pPr>
        <w:autoSpaceDE w:val="0"/>
        <w:autoSpaceDN w:val="0"/>
        <w:adjustRightInd w:val="0"/>
        <w:snapToGrid/>
        <w:jc w:val="right"/>
        <w:rPr>
          <w:sz w:val="26"/>
          <w:szCs w:val="26"/>
        </w:rPr>
      </w:pPr>
      <w:r w:rsidRPr="00226D55">
        <w:rPr>
          <w:sz w:val="26"/>
          <w:szCs w:val="26"/>
        </w:rPr>
        <w:t>ПРИЛОЖЕНИЕ</w:t>
      </w:r>
    </w:p>
    <w:p w:rsidR="00226D55" w:rsidRPr="00226D55" w:rsidRDefault="00226D55" w:rsidP="00226D55">
      <w:pPr>
        <w:snapToGrid/>
        <w:jc w:val="center"/>
        <w:rPr>
          <w:sz w:val="26"/>
          <w:szCs w:val="26"/>
        </w:rPr>
      </w:pPr>
    </w:p>
    <w:p w:rsidR="00226D55" w:rsidRPr="00226D55" w:rsidRDefault="00226D55" w:rsidP="00226D55">
      <w:pPr>
        <w:autoSpaceDE w:val="0"/>
        <w:autoSpaceDN w:val="0"/>
        <w:adjustRightInd w:val="0"/>
        <w:snapToGrid/>
        <w:jc w:val="center"/>
        <w:rPr>
          <w:sz w:val="26"/>
          <w:szCs w:val="26"/>
        </w:rPr>
      </w:pPr>
      <w:r w:rsidRPr="00226D55">
        <w:rPr>
          <w:sz w:val="26"/>
          <w:szCs w:val="26"/>
        </w:rPr>
        <w:t xml:space="preserve">МИНИСТЕРСТВО НАУКИ И ВЫСШЕГО ОБРАЗОВАНИЯ </w:t>
      </w:r>
    </w:p>
    <w:p w:rsidR="00226D55" w:rsidRPr="00226D55" w:rsidRDefault="00226D55" w:rsidP="00226D55">
      <w:pPr>
        <w:autoSpaceDE w:val="0"/>
        <w:autoSpaceDN w:val="0"/>
        <w:adjustRightInd w:val="0"/>
        <w:snapToGrid/>
        <w:jc w:val="center"/>
        <w:rPr>
          <w:sz w:val="26"/>
          <w:szCs w:val="26"/>
        </w:rPr>
      </w:pPr>
      <w:r w:rsidRPr="00226D55">
        <w:rPr>
          <w:sz w:val="26"/>
          <w:szCs w:val="26"/>
        </w:rPr>
        <w:t>РОССИЙСКОЙ ФЕДЕРАЦИИ</w:t>
      </w:r>
    </w:p>
    <w:p w:rsidR="00226D55" w:rsidRPr="00226D55" w:rsidRDefault="00226D55" w:rsidP="00226D55">
      <w:pPr>
        <w:autoSpaceDE w:val="0"/>
        <w:autoSpaceDN w:val="0"/>
        <w:adjustRightInd w:val="0"/>
        <w:snapToGrid/>
        <w:jc w:val="center"/>
        <w:rPr>
          <w:sz w:val="26"/>
          <w:szCs w:val="26"/>
        </w:rPr>
      </w:pPr>
    </w:p>
    <w:p w:rsidR="00226D55" w:rsidRPr="00226D55" w:rsidRDefault="00226D55" w:rsidP="00226D55">
      <w:pPr>
        <w:snapToGrid/>
        <w:jc w:val="center"/>
        <w:rPr>
          <w:sz w:val="26"/>
          <w:szCs w:val="26"/>
          <w:lang w:eastAsia="ar-SA"/>
        </w:rPr>
      </w:pPr>
      <w:r w:rsidRPr="00226D55">
        <w:rPr>
          <w:sz w:val="26"/>
          <w:szCs w:val="26"/>
          <w:lang w:eastAsia="ar-SA"/>
        </w:rPr>
        <w:t>ФЕДЕРАЛЬНОЕ ГОСУДАРСТВЕННОЕ БЮДЖЕТНОЕ ОБРАЗОВАТЕЛЬНОЕ УЧРЕЖДЕНИЕ ВЫСШЕГО ОБРАЗОВАНИЯ</w:t>
      </w:r>
    </w:p>
    <w:p w:rsidR="00226D55" w:rsidRPr="00226D55" w:rsidRDefault="00226D55" w:rsidP="00226D55">
      <w:pPr>
        <w:snapToGrid/>
        <w:jc w:val="center"/>
        <w:rPr>
          <w:sz w:val="26"/>
          <w:szCs w:val="26"/>
          <w:lang w:eastAsia="ar-SA"/>
        </w:rPr>
      </w:pPr>
      <w:r w:rsidRPr="00226D55">
        <w:rPr>
          <w:sz w:val="26"/>
          <w:szCs w:val="26"/>
          <w:lang w:eastAsia="ar-SA"/>
        </w:rPr>
        <w:t>«РЯЗАНСКИЙ ГОСУДАРСТВЕННЫЙ РАДИОТЕХНИЧЕСКИЙ УНИВЕРСИТЕТ ИМЕНИ В.Ф. УТКИНА»</w:t>
      </w:r>
    </w:p>
    <w:p w:rsidR="00226D55" w:rsidRPr="00226D55" w:rsidRDefault="00226D55" w:rsidP="00226D55">
      <w:pPr>
        <w:shd w:val="clear" w:color="auto" w:fill="FFFFFF"/>
        <w:autoSpaceDE w:val="0"/>
        <w:autoSpaceDN w:val="0"/>
        <w:adjustRightInd w:val="0"/>
        <w:snapToGrid/>
        <w:ind w:hanging="178"/>
        <w:jc w:val="center"/>
        <w:rPr>
          <w:sz w:val="26"/>
          <w:szCs w:val="26"/>
        </w:rPr>
      </w:pPr>
    </w:p>
    <w:p w:rsidR="00226D55" w:rsidRPr="00226D55" w:rsidRDefault="00226D55" w:rsidP="00226D55">
      <w:pPr>
        <w:shd w:val="clear" w:color="auto" w:fill="FFFFFF"/>
        <w:autoSpaceDE w:val="0"/>
        <w:autoSpaceDN w:val="0"/>
        <w:adjustRightInd w:val="0"/>
        <w:snapToGrid/>
        <w:ind w:hanging="178"/>
        <w:jc w:val="center"/>
        <w:rPr>
          <w:sz w:val="28"/>
          <w:szCs w:val="28"/>
        </w:rPr>
      </w:pPr>
      <w:r w:rsidRPr="00226D55">
        <w:rPr>
          <w:sz w:val="28"/>
          <w:szCs w:val="28"/>
        </w:rPr>
        <w:t>Кафедра «Экономика, менеджмент и организация производства»</w:t>
      </w: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shd w:val="clear" w:color="auto" w:fill="FFFFFF"/>
        <w:autoSpaceDE w:val="0"/>
        <w:autoSpaceDN w:val="0"/>
        <w:adjustRightInd w:val="0"/>
        <w:snapToGrid/>
        <w:jc w:val="center"/>
        <w:rPr>
          <w:b/>
          <w:bCs/>
          <w:kern w:val="1"/>
          <w:sz w:val="28"/>
          <w:szCs w:val="28"/>
        </w:rPr>
      </w:pPr>
      <w:r w:rsidRPr="00226D55">
        <w:rPr>
          <w:b/>
          <w:bCs/>
          <w:kern w:val="1"/>
          <w:sz w:val="28"/>
          <w:szCs w:val="28"/>
        </w:rPr>
        <w:t>МЕТОДИЧЕСКОЕ ОБЕСПЕЧЕНИЕ ДИСЦИПЛИНЫ</w:t>
      </w:r>
    </w:p>
    <w:p w:rsidR="00226D55" w:rsidRPr="00226D55" w:rsidRDefault="00226D55" w:rsidP="00226D55">
      <w:pPr>
        <w:shd w:val="clear" w:color="auto" w:fill="FFFFFF"/>
        <w:autoSpaceDE w:val="0"/>
        <w:autoSpaceDN w:val="0"/>
        <w:adjustRightInd w:val="0"/>
        <w:snapToGrid/>
        <w:jc w:val="center"/>
        <w:rPr>
          <w:b/>
          <w:bCs/>
          <w:sz w:val="28"/>
          <w:szCs w:val="28"/>
        </w:rPr>
      </w:pPr>
    </w:p>
    <w:p w:rsidR="00A85149" w:rsidRPr="00A85149" w:rsidRDefault="00DF5A33" w:rsidP="00DF5A33">
      <w:pPr>
        <w:autoSpaceDE w:val="0"/>
        <w:autoSpaceDN w:val="0"/>
        <w:adjustRightInd w:val="0"/>
        <w:snapToGrid/>
        <w:rPr>
          <w:b/>
          <w:bCs/>
          <w:sz w:val="28"/>
          <w:szCs w:val="28"/>
        </w:rPr>
      </w:pPr>
      <w:r>
        <w:rPr>
          <w:b/>
          <w:bCs/>
          <w:sz w:val="28"/>
          <w:szCs w:val="28"/>
        </w:rPr>
        <w:t xml:space="preserve"> </w:t>
      </w:r>
    </w:p>
    <w:p w:rsidR="007648A7" w:rsidRPr="00B73779" w:rsidRDefault="00CD73D9" w:rsidP="007648A7">
      <w:pPr>
        <w:suppressAutoHyphens/>
        <w:spacing w:line="360" w:lineRule="auto"/>
        <w:jc w:val="center"/>
        <w:rPr>
          <w:sz w:val="26"/>
          <w:szCs w:val="26"/>
        </w:rPr>
      </w:pPr>
      <w:r>
        <w:rPr>
          <w:b/>
          <w:sz w:val="26"/>
          <w:szCs w:val="26"/>
        </w:rPr>
        <w:t>Б1.О.37</w:t>
      </w:r>
      <w:r w:rsidR="007648A7" w:rsidRPr="00720275">
        <w:rPr>
          <w:b/>
          <w:sz w:val="26"/>
          <w:szCs w:val="26"/>
        </w:rPr>
        <w:t>.</w:t>
      </w:r>
      <w:r w:rsidR="007648A7">
        <w:rPr>
          <w:b/>
          <w:sz w:val="26"/>
          <w:szCs w:val="26"/>
        </w:rPr>
        <w:t xml:space="preserve">  </w:t>
      </w:r>
      <w:r w:rsidR="007648A7" w:rsidRPr="00B73779">
        <w:rPr>
          <w:b/>
          <w:sz w:val="26"/>
          <w:szCs w:val="26"/>
        </w:rPr>
        <w:t xml:space="preserve"> «</w:t>
      </w:r>
      <w:r w:rsidR="007648A7" w:rsidRPr="00B73779">
        <w:rPr>
          <w:b/>
          <w:sz w:val="28"/>
          <w:szCs w:val="28"/>
        </w:rPr>
        <w:t>ОРГАНИЗАЦИЯ  ВНЕШНЕ</w:t>
      </w:r>
      <w:r w:rsidR="007648A7">
        <w:rPr>
          <w:b/>
          <w:sz w:val="28"/>
          <w:szCs w:val="28"/>
        </w:rPr>
        <w:t>ЭКОНОМИЧЕСКОЙ</w:t>
      </w:r>
      <w:r w:rsidR="007648A7" w:rsidRPr="00B73779">
        <w:rPr>
          <w:b/>
          <w:sz w:val="28"/>
          <w:szCs w:val="28"/>
        </w:rPr>
        <w:t xml:space="preserve"> </w:t>
      </w:r>
      <w:r w:rsidR="007648A7">
        <w:rPr>
          <w:b/>
          <w:sz w:val="28"/>
          <w:szCs w:val="28"/>
        </w:rPr>
        <w:t>ДЕЯТЕЛЬНОСТИ ПРЕДПРИЯТИЯ</w:t>
      </w:r>
      <w:r w:rsidR="007648A7" w:rsidRPr="00B73779">
        <w:rPr>
          <w:b/>
          <w:sz w:val="26"/>
          <w:szCs w:val="26"/>
        </w:rPr>
        <w:t>»</w:t>
      </w:r>
    </w:p>
    <w:p w:rsidR="00EB0862" w:rsidRPr="00A85149" w:rsidRDefault="00EB0862" w:rsidP="00DF5A33">
      <w:pPr>
        <w:tabs>
          <w:tab w:val="left" w:pos="516"/>
        </w:tabs>
        <w:autoSpaceDE w:val="0"/>
        <w:autoSpaceDN w:val="0"/>
        <w:adjustRightInd w:val="0"/>
        <w:snapToGrid/>
        <w:jc w:val="center"/>
        <w:rPr>
          <w:b/>
          <w:bCs/>
          <w:sz w:val="28"/>
          <w:szCs w:val="28"/>
        </w:rPr>
      </w:pP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Направление подготовки</w:t>
      </w: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38.03.0</w:t>
      </w:r>
      <w:r w:rsidR="007648A7">
        <w:rPr>
          <w:rFonts w:cs="Calibri"/>
          <w:sz w:val="28"/>
          <w:szCs w:val="28"/>
          <w:lang w:eastAsia="ar-SA"/>
        </w:rPr>
        <w:t>1</w:t>
      </w:r>
      <w:r w:rsidRPr="00A85149">
        <w:rPr>
          <w:rFonts w:cs="Calibri"/>
          <w:sz w:val="28"/>
          <w:szCs w:val="28"/>
          <w:lang w:eastAsia="ar-SA"/>
        </w:rPr>
        <w:t xml:space="preserve"> </w:t>
      </w:r>
      <w:r w:rsidR="007648A7">
        <w:rPr>
          <w:rFonts w:cs="Calibri"/>
          <w:sz w:val="28"/>
          <w:szCs w:val="28"/>
          <w:lang w:eastAsia="ar-SA"/>
        </w:rPr>
        <w:t>Экономика</w:t>
      </w:r>
    </w:p>
    <w:p w:rsidR="00A85149" w:rsidRPr="00A85149" w:rsidRDefault="00A85149" w:rsidP="00A85149">
      <w:pPr>
        <w:snapToGrid/>
        <w:jc w:val="center"/>
        <w:rPr>
          <w:rFonts w:cs="Calibri"/>
          <w:bCs/>
          <w:sz w:val="28"/>
          <w:szCs w:val="28"/>
          <w:lang w:eastAsia="ar-SA"/>
        </w:rPr>
      </w:pPr>
    </w:p>
    <w:p w:rsidR="00A85149" w:rsidRPr="00A85149" w:rsidRDefault="00A85149" w:rsidP="00A85149">
      <w:pPr>
        <w:autoSpaceDE w:val="0"/>
        <w:autoSpaceDN w:val="0"/>
        <w:adjustRightInd w:val="0"/>
        <w:snapToGrid/>
        <w:jc w:val="center"/>
        <w:rPr>
          <w:b/>
          <w:sz w:val="28"/>
          <w:szCs w:val="28"/>
        </w:rPr>
      </w:pPr>
      <w:r w:rsidRPr="00A85149">
        <w:rPr>
          <w:sz w:val="28"/>
          <w:szCs w:val="28"/>
        </w:rPr>
        <w:t>Направленность (профиль) подготовки</w:t>
      </w: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w:t>
      </w:r>
      <w:r w:rsidR="007648A7">
        <w:rPr>
          <w:rFonts w:cs="Calibri"/>
          <w:sz w:val="28"/>
          <w:szCs w:val="28"/>
          <w:lang w:eastAsia="ar-SA"/>
        </w:rPr>
        <w:t>Экономика предприятия</w:t>
      </w:r>
      <w:r w:rsidRPr="00A85149">
        <w:rPr>
          <w:rFonts w:cs="Calibri"/>
          <w:sz w:val="28"/>
          <w:szCs w:val="28"/>
          <w:lang w:eastAsia="ar-SA"/>
        </w:rPr>
        <w:t>»</w:t>
      </w:r>
    </w:p>
    <w:p w:rsidR="00A85149" w:rsidRPr="00A85149" w:rsidRDefault="00A85149" w:rsidP="00A85149">
      <w:pPr>
        <w:snapToGrid/>
        <w:jc w:val="center"/>
        <w:rPr>
          <w:rFonts w:cs="Calibri"/>
          <w:bCs/>
          <w:sz w:val="28"/>
          <w:szCs w:val="28"/>
          <w:lang w:eastAsia="ar-SA"/>
        </w:rPr>
      </w:pP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Квалификация выпускника – бакалавр</w:t>
      </w:r>
    </w:p>
    <w:p w:rsidR="00A85149" w:rsidRPr="00A85149" w:rsidRDefault="00A85149" w:rsidP="00A85149">
      <w:pPr>
        <w:snapToGrid/>
        <w:jc w:val="center"/>
        <w:rPr>
          <w:rFonts w:cs="Calibri"/>
          <w:sz w:val="28"/>
          <w:szCs w:val="28"/>
          <w:lang w:eastAsia="ar-SA"/>
        </w:rPr>
      </w:pP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 xml:space="preserve">Форма обучения – </w:t>
      </w:r>
      <w:r w:rsidR="007648A7">
        <w:rPr>
          <w:rFonts w:cs="Calibri"/>
          <w:sz w:val="28"/>
          <w:szCs w:val="28"/>
          <w:lang w:eastAsia="ar-SA"/>
        </w:rPr>
        <w:t>очная</w:t>
      </w: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Default="00226D55" w:rsidP="00226D55">
      <w:pPr>
        <w:snapToGrid/>
        <w:jc w:val="center"/>
        <w:rPr>
          <w:rFonts w:cs="Calibri"/>
          <w:bCs/>
          <w:sz w:val="28"/>
          <w:szCs w:val="28"/>
          <w:lang w:eastAsia="ar-SA"/>
        </w:rPr>
      </w:pPr>
    </w:p>
    <w:p w:rsidR="00226D55" w:rsidRDefault="00226D55" w:rsidP="00226D55">
      <w:pPr>
        <w:snapToGrid/>
        <w:jc w:val="center"/>
        <w:rPr>
          <w:rFonts w:cs="Calibri"/>
          <w:bCs/>
          <w:sz w:val="28"/>
          <w:szCs w:val="28"/>
          <w:lang w:eastAsia="ar-SA"/>
        </w:rPr>
      </w:pPr>
    </w:p>
    <w:p w:rsidR="00226D55" w:rsidRPr="00226D55" w:rsidRDefault="00226D55" w:rsidP="00226D55">
      <w:pPr>
        <w:suppressAutoHyphens/>
        <w:snapToGrid/>
        <w:contextualSpacing/>
        <w:jc w:val="center"/>
        <w:rPr>
          <w:kern w:val="1"/>
          <w:sz w:val="22"/>
          <w:szCs w:val="22"/>
          <w:lang w:eastAsia="ar-SA"/>
        </w:rPr>
      </w:pPr>
      <w:r w:rsidRPr="00226D55">
        <w:rPr>
          <w:sz w:val="28"/>
          <w:szCs w:val="28"/>
        </w:rPr>
        <w:t>Рязань 20</w:t>
      </w:r>
      <w:r>
        <w:rPr>
          <w:sz w:val="28"/>
          <w:szCs w:val="28"/>
        </w:rPr>
        <w:t>2</w:t>
      </w:r>
      <w:r w:rsidR="001E4F83">
        <w:rPr>
          <w:sz w:val="28"/>
          <w:szCs w:val="28"/>
        </w:rPr>
        <w:t>0</w:t>
      </w:r>
      <w:r w:rsidRPr="00226D55">
        <w:rPr>
          <w:b/>
          <w:sz w:val="22"/>
          <w:szCs w:val="22"/>
          <w:lang w:eastAsia="en-US"/>
        </w:rPr>
        <w:br w:type="page"/>
      </w:r>
    </w:p>
    <w:p w:rsidR="00226D55" w:rsidRPr="00226D55" w:rsidRDefault="00226D55" w:rsidP="00226D55">
      <w:pPr>
        <w:numPr>
          <w:ilvl w:val="0"/>
          <w:numId w:val="3"/>
        </w:numPr>
        <w:tabs>
          <w:tab w:val="left" w:pos="284"/>
        </w:tabs>
        <w:autoSpaceDE w:val="0"/>
        <w:autoSpaceDN w:val="0"/>
        <w:adjustRightInd w:val="0"/>
        <w:snapToGrid/>
        <w:jc w:val="center"/>
        <w:rPr>
          <w:b/>
          <w:bCs/>
          <w:sz w:val="22"/>
          <w:szCs w:val="22"/>
        </w:rPr>
      </w:pPr>
      <w:r w:rsidRPr="00226D55">
        <w:rPr>
          <w:b/>
          <w:bCs/>
          <w:sz w:val="22"/>
          <w:szCs w:val="22"/>
        </w:rPr>
        <w:lastRenderedPageBreak/>
        <w:t>МЕТОДИЧЕСКИЕ УКАЗАНИЯ ДЛЯ ОБУЧАЮЩИХСЯ ПО ОСВОЕНИЮ ДИСЦИПЛИНЫ</w:t>
      </w:r>
    </w:p>
    <w:p w:rsidR="00226D55" w:rsidRPr="00226D55" w:rsidRDefault="00226D55" w:rsidP="00226D55">
      <w:pPr>
        <w:tabs>
          <w:tab w:val="left" w:pos="422"/>
        </w:tabs>
        <w:autoSpaceDE w:val="0"/>
        <w:autoSpaceDN w:val="0"/>
        <w:adjustRightInd w:val="0"/>
        <w:snapToGrid/>
        <w:ind w:firstLine="709"/>
        <w:jc w:val="both"/>
        <w:rPr>
          <w:b/>
          <w:i/>
          <w:sz w:val="22"/>
          <w:szCs w:val="22"/>
        </w:rPr>
      </w:pPr>
    </w:p>
    <w:p w:rsidR="00226D55" w:rsidRPr="00226D55" w:rsidRDefault="00226D55" w:rsidP="00226D55">
      <w:pPr>
        <w:tabs>
          <w:tab w:val="left" w:pos="422"/>
        </w:tabs>
        <w:autoSpaceDE w:val="0"/>
        <w:autoSpaceDN w:val="0"/>
        <w:adjustRightInd w:val="0"/>
        <w:snapToGrid/>
        <w:ind w:firstLine="709"/>
        <w:jc w:val="both"/>
        <w:rPr>
          <w:b/>
          <w:i/>
          <w:sz w:val="22"/>
          <w:szCs w:val="22"/>
        </w:rPr>
      </w:pPr>
      <w:r w:rsidRPr="00226D55">
        <w:rPr>
          <w:b/>
          <w:i/>
          <w:sz w:val="22"/>
          <w:szCs w:val="22"/>
        </w:rPr>
        <w:t>1. Описание последовательности действий студента («сценарий изучения дисциплины»)</w:t>
      </w:r>
    </w:p>
    <w:p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 xml:space="preserve">при подготовке к следующей лекции, нужно просмотреть текст предыдущей лекции (10-15 минут), </w:t>
      </w:r>
    </w:p>
    <w:p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26D55" w:rsidRPr="00226D55" w:rsidRDefault="00226D55" w:rsidP="00226D55">
      <w:pPr>
        <w:tabs>
          <w:tab w:val="left" w:pos="422"/>
        </w:tabs>
        <w:autoSpaceDE w:val="0"/>
        <w:autoSpaceDN w:val="0"/>
        <w:adjustRightInd w:val="0"/>
        <w:snapToGrid/>
        <w:ind w:firstLine="709"/>
        <w:jc w:val="both"/>
        <w:rPr>
          <w:b/>
          <w:sz w:val="22"/>
          <w:szCs w:val="22"/>
        </w:rPr>
      </w:pPr>
    </w:p>
    <w:p w:rsidR="00226D55" w:rsidRPr="00226D55" w:rsidRDefault="00226D55" w:rsidP="00226D55">
      <w:pPr>
        <w:tabs>
          <w:tab w:val="left" w:pos="422"/>
        </w:tabs>
        <w:autoSpaceDE w:val="0"/>
        <w:autoSpaceDN w:val="0"/>
        <w:adjustRightInd w:val="0"/>
        <w:snapToGrid/>
        <w:ind w:firstLine="709"/>
        <w:jc w:val="both"/>
        <w:rPr>
          <w:i/>
          <w:sz w:val="22"/>
          <w:szCs w:val="22"/>
        </w:rPr>
      </w:pPr>
      <w:r w:rsidRPr="00226D55">
        <w:rPr>
          <w:b/>
          <w:i/>
          <w:sz w:val="22"/>
          <w:szCs w:val="22"/>
        </w:rPr>
        <w:t>2. Рекомендации по работе с литературой</w:t>
      </w:r>
      <w:r w:rsidRPr="00226D55">
        <w:rPr>
          <w:i/>
          <w:sz w:val="22"/>
          <w:szCs w:val="22"/>
        </w:rPr>
        <w:t xml:space="preserve"> </w:t>
      </w:r>
    </w:p>
    <w:p w:rsidR="00226D55" w:rsidRPr="00226D55" w:rsidRDefault="00226D55" w:rsidP="00226D55">
      <w:pPr>
        <w:tabs>
          <w:tab w:val="left" w:pos="422"/>
        </w:tabs>
        <w:autoSpaceDE w:val="0"/>
        <w:autoSpaceDN w:val="0"/>
        <w:adjustRightInd w:val="0"/>
        <w:snapToGrid/>
        <w:ind w:firstLine="709"/>
        <w:jc w:val="both"/>
        <w:rPr>
          <w:sz w:val="22"/>
          <w:szCs w:val="22"/>
        </w:rPr>
      </w:pPr>
      <w:r w:rsidRPr="00226D55">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226D55" w:rsidRPr="00226D55" w:rsidRDefault="00226D55" w:rsidP="00226D55">
      <w:pPr>
        <w:autoSpaceDE w:val="0"/>
        <w:autoSpaceDN w:val="0"/>
        <w:adjustRightInd w:val="0"/>
        <w:snapToGrid/>
        <w:ind w:firstLine="709"/>
        <w:rPr>
          <w:sz w:val="22"/>
          <w:szCs w:val="22"/>
        </w:rPr>
      </w:pPr>
    </w:p>
    <w:p w:rsidR="00226D55" w:rsidRPr="00226D55" w:rsidRDefault="00226D55" w:rsidP="00226D55">
      <w:pPr>
        <w:tabs>
          <w:tab w:val="left" w:pos="5800"/>
        </w:tabs>
        <w:autoSpaceDE w:val="0"/>
        <w:autoSpaceDN w:val="0"/>
        <w:adjustRightInd w:val="0"/>
        <w:snapToGrid/>
        <w:ind w:firstLine="709"/>
        <w:jc w:val="both"/>
        <w:rPr>
          <w:rFonts w:eastAsia="Meiryo"/>
          <w:sz w:val="22"/>
          <w:szCs w:val="22"/>
        </w:rPr>
      </w:pPr>
      <w:r w:rsidRPr="00226D55">
        <w:rPr>
          <w:rFonts w:eastAsia="Meiryo"/>
          <w:b/>
          <w:i/>
          <w:sz w:val="22"/>
          <w:szCs w:val="22"/>
        </w:rPr>
        <w:t xml:space="preserve">3. Подготовка к </w:t>
      </w:r>
      <w:r w:rsidR="001D3F49">
        <w:rPr>
          <w:rFonts w:eastAsia="Meiryo"/>
          <w:b/>
          <w:i/>
          <w:sz w:val="22"/>
          <w:szCs w:val="22"/>
        </w:rPr>
        <w:t>промежуточной аттестации</w:t>
      </w:r>
    </w:p>
    <w:p w:rsidR="00226D55" w:rsidRPr="00226D55" w:rsidRDefault="00226D55" w:rsidP="00226D55">
      <w:pPr>
        <w:tabs>
          <w:tab w:val="left" w:pos="2900"/>
          <w:tab w:val="left" w:pos="3940"/>
          <w:tab w:val="left" w:pos="4820"/>
          <w:tab w:val="left" w:pos="5880"/>
          <w:tab w:val="left" w:pos="7520"/>
          <w:tab w:val="left" w:pos="8020"/>
          <w:tab w:val="left" w:pos="9060"/>
        </w:tabs>
        <w:autoSpaceDE w:val="0"/>
        <w:autoSpaceDN w:val="0"/>
        <w:adjustRightInd w:val="0"/>
        <w:snapToGrid/>
        <w:ind w:firstLine="709"/>
        <w:jc w:val="both"/>
        <w:rPr>
          <w:rFonts w:eastAsia="Meiryo"/>
          <w:sz w:val="22"/>
          <w:szCs w:val="22"/>
        </w:rPr>
      </w:pPr>
      <w:r w:rsidRPr="00226D55">
        <w:rPr>
          <w:rFonts w:eastAsia="Meiryo"/>
          <w:sz w:val="22"/>
          <w:szCs w:val="22"/>
        </w:rPr>
        <w:t xml:space="preserve">Главная задача </w:t>
      </w:r>
      <w:r w:rsidR="001D3F49">
        <w:rPr>
          <w:rFonts w:eastAsia="Meiryo"/>
          <w:sz w:val="22"/>
          <w:szCs w:val="22"/>
        </w:rPr>
        <w:t>промежуточной аттестации</w:t>
      </w:r>
      <w:r>
        <w:rPr>
          <w:rFonts w:eastAsia="Meiryo"/>
          <w:sz w:val="22"/>
          <w:szCs w:val="22"/>
        </w:rPr>
        <w:t xml:space="preserve"> </w:t>
      </w:r>
      <w:r w:rsidRPr="00226D55">
        <w:rPr>
          <w:rFonts w:eastAsia="Meiryo"/>
          <w:sz w:val="22"/>
          <w:szCs w:val="22"/>
        </w:rPr>
        <w:t>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w:t>
      </w:r>
      <w:r w:rsidR="001D3F49">
        <w:rPr>
          <w:rFonts w:eastAsia="Meiryo"/>
          <w:sz w:val="22"/>
          <w:szCs w:val="22"/>
        </w:rPr>
        <w:t xml:space="preserve"> промежуточной аттестации</w:t>
      </w:r>
      <w:r>
        <w:rPr>
          <w:rFonts w:eastAsia="Meiryo"/>
          <w:sz w:val="22"/>
          <w:szCs w:val="22"/>
        </w:rPr>
        <w:t xml:space="preserve"> </w:t>
      </w:r>
      <w:r w:rsidRPr="00226D55">
        <w:rPr>
          <w:rFonts w:eastAsia="Meiryo"/>
          <w:sz w:val="22"/>
          <w:szCs w:val="22"/>
        </w:rPr>
        <w:t xml:space="preserve">студент приводит в систему знания, полученные на лекциях, практических занятиях, разбирается в том, что осталось непонятным. </w:t>
      </w:r>
    </w:p>
    <w:p w:rsidR="00226D55" w:rsidRPr="00226D55" w:rsidRDefault="00226D55" w:rsidP="00226D55">
      <w:pPr>
        <w:widowControl/>
        <w:snapToGrid/>
        <w:ind w:firstLine="709"/>
        <w:rPr>
          <w:rFonts w:ascii="Calibri" w:hAnsi="Calibri"/>
          <w:sz w:val="22"/>
          <w:szCs w:val="22"/>
          <w:lang w:eastAsia="en-US"/>
        </w:rPr>
      </w:pP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numPr>
          <w:ilvl w:val="0"/>
          <w:numId w:val="3"/>
        </w:numPr>
        <w:tabs>
          <w:tab w:val="left" w:pos="284"/>
        </w:tabs>
        <w:autoSpaceDE w:val="0"/>
        <w:autoSpaceDN w:val="0"/>
        <w:adjustRightInd w:val="0"/>
        <w:snapToGrid/>
        <w:jc w:val="center"/>
        <w:rPr>
          <w:b/>
          <w:bCs/>
          <w:sz w:val="22"/>
          <w:szCs w:val="22"/>
        </w:rPr>
      </w:pPr>
      <w:r w:rsidRPr="00226D55">
        <w:rPr>
          <w:b/>
          <w:bCs/>
          <w:sz w:val="22"/>
          <w:szCs w:val="22"/>
        </w:rPr>
        <w:t>МЕТОДИЧЕСКИЕ УКАЗАНИЯ ДЛЯ САМОСТОЯТЕЛЬНОЙ РАБОТЫ СТУДЕНТА</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Выделяют два вида самостоятельной работы студента (СРС):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непосредственно в ходе аудиторных занятий (лекций, практических, семинарских, </w:t>
      </w:r>
      <w:r w:rsidRPr="00226D55">
        <w:rPr>
          <w:rFonts w:eastAsia="Meiryo"/>
          <w:sz w:val="22"/>
          <w:szCs w:val="22"/>
        </w:rPr>
        <w:lastRenderedPageBreak/>
        <w:t>лабораторных занятий) под руководством и контролем преподавателя;</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самостоятельная работа студента во внеаудиторное время без участия преподавателя (дома, в библиотеке, в общежитии и т.д.).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Основными формами внеаудиторной СРС под руководством и контролем преподавателя являются: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текущие консультации (перед </w:t>
      </w:r>
      <w:r w:rsidR="001D3F49">
        <w:rPr>
          <w:rFonts w:eastAsia="Meiryo"/>
          <w:sz w:val="22"/>
          <w:szCs w:val="22"/>
        </w:rPr>
        <w:t>промежуточной аттестацией</w:t>
      </w:r>
      <w:r w:rsidRPr="00226D55">
        <w:rPr>
          <w:rFonts w:eastAsia="Meiryo"/>
          <w:sz w:val="22"/>
          <w:szCs w:val="22"/>
        </w:rPr>
        <w:t xml:space="preserve">, в межсессионный период и т. д.);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различных видов заданий во время прохождения учебных и производственных практик;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подготовка докладов и рефератов, написание курсовых и выпускных квалификационных работ;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Основными формами внеаудиторной СРС без участия преподавателя являются: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изучение учебной, научной, методической, справочной литературы, в том числе с привлечением электронных средств информации;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составление различных видов записей прочитанного: конспектирование, аннотирование, реферирование, цитирование, тезирование;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составление библиографии для различных видов учебных и научных работ;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подготовка к лабораторным, контрольным работам, их оформление; подготовка сообщений к выступлению на семинаре, конференции;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индивидуальных творческих заданий по различным разделам содержания учебной дисциплины;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текущий самоконтроль успеваемости на базе традиционных и электронных обучающих и аттестующих тестов.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скорочтения можно овладеть путем специальных тренировок.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Существует несколько видов систематизированной записи прочитанного: аннотирование, планирование, конспектирование, тезирование, цитирование.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eastAsia="Meiryo"/>
          <w:sz w:val="22"/>
          <w:szCs w:val="22"/>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Существуют и другие виды записей по результатам работы с литературой.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Резюме - краткая оценка прочитанного, с выводами, главными итогами работы. Оно часто дается в заключение работы.</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numPr>
          <w:ilvl w:val="0"/>
          <w:numId w:val="3"/>
        </w:numPr>
        <w:tabs>
          <w:tab w:val="num" w:pos="0"/>
          <w:tab w:val="left" w:pos="284"/>
        </w:tabs>
        <w:autoSpaceDE w:val="0"/>
        <w:autoSpaceDN w:val="0"/>
        <w:adjustRightInd w:val="0"/>
        <w:snapToGrid/>
        <w:jc w:val="center"/>
        <w:rPr>
          <w:b/>
          <w:i/>
          <w:kern w:val="1"/>
          <w:sz w:val="22"/>
          <w:szCs w:val="22"/>
          <w:lang w:eastAsia="zh-CN"/>
        </w:rPr>
      </w:pPr>
      <w:r w:rsidRPr="00226D55">
        <w:rPr>
          <w:b/>
          <w:kern w:val="1"/>
          <w:sz w:val="22"/>
          <w:szCs w:val="22"/>
          <w:lang w:eastAsia="zh-CN"/>
        </w:rPr>
        <w:t xml:space="preserve">ВОПРОСЫ ДЛЯ ПОДГОТОВКИ К </w:t>
      </w:r>
      <w:r w:rsidR="001D3F49">
        <w:rPr>
          <w:b/>
          <w:kern w:val="1"/>
          <w:sz w:val="22"/>
          <w:szCs w:val="22"/>
          <w:lang w:eastAsia="zh-CN"/>
        </w:rPr>
        <w:t>ПРОМЕЖУТОЧНОЙ АТТЕСТАЦИИ</w:t>
      </w:r>
      <w:r w:rsidRPr="00226D55">
        <w:rPr>
          <w:b/>
          <w:kern w:val="1"/>
          <w:sz w:val="22"/>
          <w:szCs w:val="22"/>
          <w:lang w:eastAsia="zh-CN"/>
        </w:rPr>
        <w:t xml:space="preserve"> </w:t>
      </w:r>
    </w:p>
    <w:p w:rsidR="00DF5A33" w:rsidRPr="005E5C41" w:rsidRDefault="00DF5A33" w:rsidP="00DF5A33">
      <w:pPr>
        <w:widowControl/>
        <w:suppressAutoHyphens/>
        <w:snapToGrid/>
        <w:spacing w:after="200" w:line="276" w:lineRule="auto"/>
        <w:ind w:left="1069"/>
        <w:contextualSpacing/>
        <w:jc w:val="both"/>
        <w:rPr>
          <w:rFonts w:asciiTheme="minorHAnsi" w:hAnsiTheme="minorHAnsi" w:cstheme="minorBidi"/>
          <w:sz w:val="22"/>
          <w:szCs w:val="22"/>
          <w:lang w:eastAsia="zh-CN"/>
        </w:rPr>
      </w:pPr>
      <w:r>
        <w:rPr>
          <w:sz w:val="22"/>
          <w:szCs w:val="22"/>
          <w:lang w:eastAsia="ar-SA"/>
        </w:rPr>
        <w:t xml:space="preserve"> </w:t>
      </w:r>
    </w:p>
    <w:p w:rsidR="00EB0862" w:rsidRPr="00EB0862" w:rsidRDefault="00EB0862" w:rsidP="00EB0862">
      <w:pPr>
        <w:widowControl/>
        <w:numPr>
          <w:ilvl w:val="0"/>
          <w:numId w:val="9"/>
        </w:numPr>
        <w:snapToGrid/>
        <w:rPr>
          <w:sz w:val="22"/>
          <w:szCs w:val="22"/>
          <w:lang w:eastAsia="en-US"/>
        </w:rPr>
      </w:pPr>
      <w:r w:rsidRPr="00EB0862">
        <w:rPr>
          <w:sz w:val="22"/>
          <w:szCs w:val="22"/>
          <w:lang w:eastAsia="zh-CN"/>
        </w:rPr>
        <w:t xml:space="preserve"> </w:t>
      </w:r>
      <w:r w:rsidRPr="00EB0862">
        <w:rPr>
          <w:sz w:val="22"/>
          <w:szCs w:val="22"/>
          <w:lang w:eastAsia="en-US"/>
        </w:rPr>
        <w:t>Понятие и содержание внешнеэкономической деятельности. Основные формы внешнеэкономической деятельности (ВЭД).</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Государственные органы управления ВЭД в России.</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Негосударственные организации, содействующие ВЭД. Деятельность торгово-промышленной палаты.</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Формы государственного регулирования ВЭД.</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Импортный тариф, его функции и построение.</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Виды налогов, взимаемые с участников ВЭД.</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Товарная номенклатура внешнеэкономической деятельности.</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Определение страны происхождения товара.</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Методы определения таможенной стоимости.</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Таможенные (процедуры) режимы. Конвенция АТА о временном ввозе.</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Нетарифное регулирование ВЭД.</w:t>
      </w:r>
    </w:p>
    <w:p w:rsidR="00EB0862" w:rsidRPr="00EB0862" w:rsidRDefault="00EB0862" w:rsidP="00EB0862">
      <w:pPr>
        <w:pStyle w:val="a4"/>
        <w:numPr>
          <w:ilvl w:val="0"/>
          <w:numId w:val="9"/>
        </w:numPr>
        <w:rPr>
          <w:sz w:val="22"/>
          <w:szCs w:val="22"/>
        </w:rPr>
      </w:pPr>
      <w:r w:rsidRPr="00EB0862">
        <w:rPr>
          <w:sz w:val="22"/>
          <w:szCs w:val="22"/>
        </w:rPr>
        <w:t>Порядок сертификации ввозимых в Россию товаров, подлежащих обязательной сертификации.</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 xml:space="preserve"> Таможенное оформление грузов.</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Базисные условия поставки.</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lastRenderedPageBreak/>
        <w:t xml:space="preserve">Формы заключения сделки. </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Содержание и структура контракта.</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Формы расчетов по внешнеторговым контрактам.</w:t>
      </w:r>
    </w:p>
    <w:p w:rsidR="00EB0862" w:rsidRPr="00EB0862" w:rsidRDefault="00EB0862" w:rsidP="00EB0862">
      <w:pPr>
        <w:widowControl/>
        <w:numPr>
          <w:ilvl w:val="0"/>
          <w:numId w:val="9"/>
        </w:numPr>
        <w:snapToGrid/>
        <w:rPr>
          <w:sz w:val="22"/>
          <w:szCs w:val="22"/>
          <w:lang w:eastAsia="en-US"/>
        </w:rPr>
      </w:pPr>
      <w:r w:rsidRPr="00EB0862">
        <w:rPr>
          <w:color w:val="000000"/>
          <w:w w:val="102"/>
          <w:sz w:val="22"/>
          <w:szCs w:val="22"/>
          <w:lang w:eastAsia="en-US"/>
        </w:rPr>
        <w:t>Ценовая политика фирмы на внешних рынках.</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Методы ценообразования: метод среднерыночной (среднемировой) цены, скользящие цены.</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Посреднические операции во внешнеэкономической деятельности.</w:t>
      </w:r>
    </w:p>
    <w:p w:rsidR="00EB0862" w:rsidRPr="00EB0862" w:rsidRDefault="00EB0862" w:rsidP="00EB0862">
      <w:pPr>
        <w:widowControl/>
        <w:numPr>
          <w:ilvl w:val="0"/>
          <w:numId w:val="9"/>
        </w:numPr>
        <w:snapToGrid/>
        <w:rPr>
          <w:sz w:val="22"/>
          <w:szCs w:val="22"/>
          <w:lang w:eastAsia="en-US"/>
        </w:rPr>
      </w:pPr>
      <w:r w:rsidRPr="00EB0862">
        <w:rPr>
          <w:sz w:val="22"/>
          <w:szCs w:val="22"/>
          <w:lang w:eastAsia="en-US"/>
        </w:rPr>
        <w:t>Транспортные операции (транспортная логистика) во внешнеэкономической деятельности</w:t>
      </w:r>
    </w:p>
    <w:p w:rsidR="00EB0862" w:rsidRPr="00EB0862" w:rsidRDefault="00EB0862" w:rsidP="00EB0862">
      <w:pPr>
        <w:widowControl/>
        <w:snapToGrid/>
        <w:spacing w:after="200" w:line="276" w:lineRule="auto"/>
        <w:ind w:left="360"/>
        <w:rPr>
          <w:sz w:val="22"/>
          <w:szCs w:val="22"/>
          <w:lang w:eastAsia="en-US"/>
        </w:rPr>
      </w:pPr>
    </w:p>
    <w:p w:rsidR="00EB0862" w:rsidRPr="00EB0862" w:rsidRDefault="00EB0862" w:rsidP="00EB0862">
      <w:pPr>
        <w:widowControl/>
        <w:snapToGrid/>
        <w:spacing w:after="200" w:line="276" w:lineRule="auto"/>
        <w:rPr>
          <w:sz w:val="22"/>
          <w:szCs w:val="22"/>
          <w:lang w:eastAsia="en-US"/>
        </w:rPr>
      </w:pPr>
      <w:r w:rsidRPr="00EB0862">
        <w:rPr>
          <w:sz w:val="22"/>
          <w:szCs w:val="22"/>
          <w:lang w:eastAsia="en-US"/>
        </w:rPr>
        <w:t xml:space="preserve"> </w:t>
      </w:r>
    </w:p>
    <w:p w:rsidR="00EB0862" w:rsidRPr="00EB0862" w:rsidRDefault="00EB0862" w:rsidP="00EB0862">
      <w:pPr>
        <w:shd w:val="clear" w:color="auto" w:fill="FFFFFF"/>
        <w:spacing w:line="230" w:lineRule="exact"/>
        <w:jc w:val="both"/>
        <w:rPr>
          <w:b/>
          <w:i/>
          <w:color w:val="000000"/>
          <w:spacing w:val="-13"/>
          <w:sz w:val="22"/>
          <w:szCs w:val="22"/>
        </w:rPr>
      </w:pPr>
    </w:p>
    <w:p w:rsidR="00EB0862" w:rsidRPr="00EB0862" w:rsidRDefault="00EB0862" w:rsidP="00EB0862">
      <w:pPr>
        <w:widowControl/>
        <w:snapToGrid/>
        <w:spacing w:after="200" w:line="276" w:lineRule="auto"/>
        <w:rPr>
          <w:sz w:val="22"/>
          <w:szCs w:val="22"/>
          <w:lang w:eastAsia="en-US"/>
        </w:rPr>
      </w:pPr>
    </w:p>
    <w:p w:rsidR="00DF5A33" w:rsidRPr="00EB0862" w:rsidRDefault="00DF5A33" w:rsidP="00DF5A33">
      <w:pPr>
        <w:widowControl/>
        <w:snapToGrid/>
        <w:spacing w:after="200" w:line="276" w:lineRule="auto"/>
        <w:rPr>
          <w:sz w:val="22"/>
          <w:szCs w:val="22"/>
          <w:lang w:eastAsia="en-US"/>
        </w:rPr>
      </w:pPr>
    </w:p>
    <w:p w:rsidR="00226D55" w:rsidRPr="00EB0862" w:rsidRDefault="00226D55" w:rsidP="00DF5A33">
      <w:pPr>
        <w:widowControl/>
        <w:tabs>
          <w:tab w:val="left" w:pos="2243"/>
        </w:tabs>
        <w:snapToGrid/>
        <w:spacing w:after="200" w:line="276" w:lineRule="auto"/>
        <w:rPr>
          <w:sz w:val="22"/>
          <w:szCs w:val="22"/>
          <w:lang w:eastAsia="ar-SA"/>
        </w:rPr>
      </w:pPr>
    </w:p>
    <w:sectPr w:rsidR="00226D55" w:rsidRPr="00EB0862" w:rsidSect="00226D55">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36"/>
    <w:lvl w:ilvl="0">
      <w:start w:val="1"/>
      <w:numFmt w:val="decimal"/>
      <w:lvlText w:val="%1)"/>
      <w:lvlJc w:val="left"/>
      <w:pPr>
        <w:tabs>
          <w:tab w:val="num" w:pos="814"/>
        </w:tabs>
        <w:ind w:left="814" w:hanging="360"/>
      </w:pPr>
      <w:rPr>
        <w:rFonts w:cs="Times New Roman"/>
      </w:rPr>
    </w:lvl>
  </w:abstractNum>
  <w:abstractNum w:abstractNumId="1">
    <w:nsid w:val="00000012"/>
    <w:multiLevelType w:val="singleLevel"/>
    <w:tmpl w:val="D59EB83E"/>
    <w:lvl w:ilvl="0">
      <w:start w:val="1"/>
      <w:numFmt w:val="decimal"/>
      <w:lvlText w:val="%1."/>
      <w:lvlJc w:val="left"/>
      <w:pPr>
        <w:tabs>
          <w:tab w:val="num" w:pos="0"/>
        </w:tabs>
        <w:ind w:left="1069" w:hanging="360"/>
      </w:pPr>
      <w:rPr>
        <w:rFonts w:cs="Times New Roman" w:hint="default"/>
        <w:b/>
        <w:i w:val="0"/>
      </w:rPr>
    </w:lvl>
  </w:abstractNum>
  <w:abstractNum w:abstractNumId="2">
    <w:nsid w:val="10F70161"/>
    <w:multiLevelType w:val="hybridMultilevel"/>
    <w:tmpl w:val="17A0B578"/>
    <w:lvl w:ilvl="0" w:tplc="4746BC2E">
      <w:start w:val="1"/>
      <w:numFmt w:val="bullet"/>
      <w:lvlText w:val=""/>
      <w:lvlJc w:val="left"/>
      <w:pPr>
        <w:ind w:hanging="360"/>
      </w:pPr>
      <w:rPr>
        <w:rFonts w:ascii="Symbol" w:hAnsi="Symbol" w:hint="default"/>
      </w:rPr>
    </w:lvl>
    <w:lvl w:ilvl="1" w:tplc="04190003">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7CD1501"/>
    <w:multiLevelType w:val="hybridMultilevel"/>
    <w:tmpl w:val="31AC063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FE92FBD"/>
    <w:multiLevelType w:val="hybridMultilevel"/>
    <w:tmpl w:val="539C1D1A"/>
    <w:lvl w:ilvl="0" w:tplc="04190011">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36AA5045"/>
    <w:multiLevelType w:val="hybridMultilevel"/>
    <w:tmpl w:val="7F7E6B76"/>
    <w:lvl w:ilvl="0" w:tplc="CB4CD870">
      <w:start w:val="1"/>
      <w:numFmt w:val="decimal"/>
      <w:lvlText w:val="%1."/>
      <w:lvlJc w:val="left"/>
      <w:pPr>
        <w:ind w:left="1429" w:hanging="360"/>
      </w:pPr>
      <w:rPr>
        <w:rFonts w:cs="Times New Roman" w:hint="default"/>
        <w:sz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11121D5"/>
    <w:multiLevelType w:val="hybridMultilevel"/>
    <w:tmpl w:val="FD66FB3A"/>
    <w:lvl w:ilvl="0" w:tplc="A66AB80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6174D66"/>
    <w:multiLevelType w:val="singleLevel"/>
    <w:tmpl w:val="0419000F"/>
    <w:lvl w:ilvl="0">
      <w:start w:val="1"/>
      <w:numFmt w:val="decimal"/>
      <w:lvlText w:val="%1."/>
      <w:lvlJc w:val="left"/>
      <w:pPr>
        <w:tabs>
          <w:tab w:val="num" w:pos="502"/>
        </w:tabs>
        <w:ind w:left="502" w:hanging="360"/>
      </w:pPr>
      <w:rPr>
        <w:rFonts w:cs="Times New Roman"/>
      </w:rPr>
    </w:lvl>
  </w:abstractNum>
  <w:abstractNum w:abstractNumId="8">
    <w:nsid w:val="6CC46F12"/>
    <w:multiLevelType w:val="hybridMultilevel"/>
    <w:tmpl w:val="C5585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 w:numId="8">
    <w:abstractNumId w:val="8"/>
  </w:num>
  <w:num w:numId="9">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26D55"/>
    <w:rsid w:val="00061A3A"/>
    <w:rsid w:val="001D3F49"/>
    <w:rsid w:val="001E4F83"/>
    <w:rsid w:val="00226D55"/>
    <w:rsid w:val="004D1BBC"/>
    <w:rsid w:val="005C5E76"/>
    <w:rsid w:val="005E5C41"/>
    <w:rsid w:val="006066F2"/>
    <w:rsid w:val="007648A7"/>
    <w:rsid w:val="00796374"/>
    <w:rsid w:val="007D11DF"/>
    <w:rsid w:val="007D7F5B"/>
    <w:rsid w:val="00853A57"/>
    <w:rsid w:val="008A3374"/>
    <w:rsid w:val="00995771"/>
    <w:rsid w:val="00A85149"/>
    <w:rsid w:val="00A9612C"/>
    <w:rsid w:val="00B33CBB"/>
    <w:rsid w:val="00B35E83"/>
    <w:rsid w:val="00CC7181"/>
    <w:rsid w:val="00CD73D9"/>
    <w:rsid w:val="00D44AE6"/>
    <w:rsid w:val="00DF5A33"/>
    <w:rsid w:val="00EB0862"/>
    <w:rsid w:val="00F259B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0862"/>
    <w:pPr>
      <w:widowControl w:val="0"/>
      <w:snapToGrid w:val="0"/>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A3A"/>
    <w:pPr>
      <w:widowControl/>
      <w:snapToGrid/>
      <w:spacing w:after="160" w:line="259" w:lineRule="auto"/>
      <w:ind w:left="720"/>
      <w:contextualSpacing/>
    </w:pPr>
    <w:rPr>
      <w:rFonts w:asciiTheme="minorHAnsi" w:hAnsiTheme="minorHAnsi" w:cstheme="minorBidi"/>
      <w:sz w:val="22"/>
      <w:szCs w:val="22"/>
      <w:lang w:eastAsia="en-US"/>
    </w:rPr>
  </w:style>
  <w:style w:type="paragraph" w:styleId="a4">
    <w:name w:val="Body Text Indent"/>
    <w:basedOn w:val="a"/>
    <w:link w:val="a5"/>
    <w:uiPriority w:val="99"/>
    <w:semiHidden/>
    <w:unhideWhenUsed/>
    <w:rsid w:val="00EB0862"/>
    <w:pPr>
      <w:widowControl/>
      <w:snapToGrid/>
      <w:ind w:firstLine="709"/>
    </w:pPr>
    <w:rPr>
      <w:sz w:val="24"/>
    </w:rPr>
  </w:style>
  <w:style w:type="character" w:customStyle="1" w:styleId="a5">
    <w:name w:val="Основной текст с отступом Знак"/>
    <w:basedOn w:val="a0"/>
    <w:link w:val="a4"/>
    <w:uiPriority w:val="99"/>
    <w:semiHidden/>
    <w:locked/>
    <w:rsid w:val="00EB086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82210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1778</Words>
  <Characters>10141</Characters>
  <Application>Microsoft Office Word</Application>
  <DocSecurity>0</DocSecurity>
  <Lines>84</Lines>
  <Paragraphs>23</Paragraphs>
  <ScaleCrop>false</ScaleCrop>
  <Company>RSREU</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Павел</cp:lastModifiedBy>
  <cp:revision>6</cp:revision>
  <dcterms:created xsi:type="dcterms:W3CDTF">2023-04-01T18:19:00Z</dcterms:created>
  <dcterms:modified xsi:type="dcterms:W3CDTF">2023-09-21T15:32:00Z</dcterms:modified>
</cp:coreProperties>
</file>