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DD" w:rsidRDefault="0072476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8F60DD" w:rsidRDefault="008F60DD">
      <w:pPr>
        <w:ind w:firstLine="567"/>
        <w:jc w:val="center"/>
        <w:rPr>
          <w:b/>
          <w:sz w:val="28"/>
          <w:szCs w:val="28"/>
        </w:rPr>
      </w:pPr>
    </w:p>
    <w:p w:rsidR="008F60DD" w:rsidRDefault="0072476F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РЯЗАНСКИЙ ГОСУДАРСТВЕННЫЙ РАДИОТЕХНИЧЕСКИЙ УНИВЕРСИТЕТ им. В.Ф. УТКИНА</w:t>
      </w:r>
    </w:p>
    <w:p w:rsidR="008F60DD" w:rsidRDefault="008F60DD">
      <w:pPr>
        <w:ind w:firstLine="567"/>
        <w:jc w:val="center"/>
        <w:rPr>
          <w:b/>
          <w:sz w:val="28"/>
          <w:szCs w:val="28"/>
        </w:rPr>
      </w:pPr>
    </w:p>
    <w:p w:rsidR="008F60DD" w:rsidRDefault="0072476F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8F60DD" w:rsidRDefault="008F60DD">
      <w:pPr>
        <w:ind w:firstLine="567"/>
        <w:jc w:val="center"/>
        <w:rPr>
          <w:sz w:val="28"/>
          <w:szCs w:val="28"/>
        </w:rPr>
      </w:pPr>
    </w:p>
    <w:p w:rsidR="008F60DD" w:rsidRDefault="008F60DD">
      <w:pPr>
        <w:ind w:firstLine="0"/>
        <w:jc w:val="center"/>
        <w:rPr>
          <w:sz w:val="16"/>
          <w:szCs w:val="16"/>
        </w:rPr>
      </w:pPr>
    </w:p>
    <w:p w:rsidR="008F60DD" w:rsidRDefault="008F60DD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8F60DD" w:rsidRDefault="008F60DD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8F60DD" w:rsidRDefault="008F60DD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8F60DD" w:rsidRDefault="008F60DD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8F60DD" w:rsidRDefault="0072476F">
      <w:pPr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ОЦЕНОЧНЫЕ МАТЕРИАЛЫ ДИСЦИПЛИНЫ</w:t>
      </w:r>
    </w:p>
    <w:p w:rsidR="008F60DD" w:rsidRDefault="008F60DD">
      <w:pPr>
        <w:ind w:firstLine="567"/>
        <w:jc w:val="center"/>
        <w:rPr>
          <w:sz w:val="28"/>
          <w:szCs w:val="28"/>
        </w:rPr>
      </w:pPr>
    </w:p>
    <w:p w:rsidR="008F60DD" w:rsidRDefault="007247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40"/>
          <w:szCs w:val="40"/>
        </w:rPr>
        <w:t>Б1.В.ДВ.04.02</w:t>
      </w:r>
      <w:r>
        <w:rPr>
          <w:rFonts w:ascii="Arial" w:eastAsia="Arial" w:hAnsi="Arial" w:cs="Arial"/>
          <w:b/>
          <w:i/>
          <w:color w:val="000000"/>
          <w:sz w:val="40"/>
          <w:szCs w:val="40"/>
        </w:rPr>
        <w:t xml:space="preserve"> </w:t>
      </w:r>
      <w:r>
        <w:rPr>
          <w:b/>
          <w:i/>
          <w:color w:val="000000"/>
          <w:sz w:val="40"/>
          <w:szCs w:val="40"/>
        </w:rPr>
        <w:t>Телеуправление</w:t>
      </w:r>
    </w:p>
    <w:p w:rsidR="008F60DD" w:rsidRDefault="008F60DD">
      <w:pPr>
        <w:ind w:firstLine="0"/>
        <w:jc w:val="center"/>
        <w:rPr>
          <w:sz w:val="28"/>
          <w:szCs w:val="28"/>
        </w:rPr>
      </w:pPr>
    </w:p>
    <w:p w:rsidR="008F60DD" w:rsidRDefault="008F60DD">
      <w:pPr>
        <w:ind w:firstLine="0"/>
        <w:jc w:val="center"/>
        <w:rPr>
          <w:sz w:val="28"/>
          <w:szCs w:val="28"/>
        </w:rPr>
      </w:pPr>
    </w:p>
    <w:p w:rsidR="008F60DD" w:rsidRDefault="008F60DD">
      <w:pPr>
        <w:ind w:firstLine="0"/>
        <w:jc w:val="center"/>
        <w:rPr>
          <w:sz w:val="28"/>
          <w:szCs w:val="28"/>
        </w:rPr>
      </w:pPr>
    </w:p>
    <w:p w:rsidR="008F60DD" w:rsidRDefault="008F60DD">
      <w:pPr>
        <w:ind w:firstLine="0"/>
        <w:jc w:val="center"/>
        <w:rPr>
          <w:sz w:val="28"/>
          <w:szCs w:val="28"/>
        </w:rPr>
      </w:pPr>
    </w:p>
    <w:p w:rsidR="008F60DD" w:rsidRDefault="008F60DD">
      <w:pPr>
        <w:ind w:firstLine="0"/>
        <w:jc w:val="center"/>
        <w:rPr>
          <w:sz w:val="28"/>
          <w:szCs w:val="28"/>
        </w:rPr>
      </w:pPr>
    </w:p>
    <w:p w:rsidR="008F60DD" w:rsidRDefault="008F60DD">
      <w:pPr>
        <w:ind w:firstLine="0"/>
        <w:jc w:val="center"/>
        <w:rPr>
          <w:sz w:val="28"/>
          <w:szCs w:val="28"/>
        </w:rPr>
      </w:pPr>
    </w:p>
    <w:p w:rsidR="008F60DD" w:rsidRDefault="008F60DD">
      <w:pPr>
        <w:ind w:firstLine="0"/>
        <w:jc w:val="center"/>
        <w:rPr>
          <w:sz w:val="28"/>
          <w:szCs w:val="28"/>
        </w:rPr>
      </w:pPr>
    </w:p>
    <w:p w:rsidR="008F60DD" w:rsidRDefault="008F60DD">
      <w:pPr>
        <w:ind w:firstLine="0"/>
        <w:jc w:val="center"/>
        <w:rPr>
          <w:sz w:val="28"/>
          <w:szCs w:val="28"/>
        </w:rPr>
      </w:pPr>
    </w:p>
    <w:p w:rsidR="008F60DD" w:rsidRDefault="008F60DD">
      <w:pPr>
        <w:ind w:firstLine="0"/>
        <w:jc w:val="center"/>
        <w:rPr>
          <w:sz w:val="28"/>
          <w:szCs w:val="28"/>
        </w:rPr>
      </w:pPr>
    </w:p>
    <w:p w:rsidR="008F60DD" w:rsidRDefault="008F60DD">
      <w:pPr>
        <w:ind w:firstLine="0"/>
        <w:jc w:val="center"/>
        <w:rPr>
          <w:sz w:val="28"/>
          <w:szCs w:val="28"/>
        </w:rPr>
      </w:pPr>
    </w:p>
    <w:p w:rsidR="008F60DD" w:rsidRDefault="008F60DD">
      <w:pPr>
        <w:ind w:firstLine="0"/>
        <w:jc w:val="center"/>
        <w:rPr>
          <w:sz w:val="28"/>
          <w:szCs w:val="28"/>
        </w:rPr>
      </w:pPr>
    </w:p>
    <w:p w:rsidR="008F60DD" w:rsidRDefault="008F60DD">
      <w:pPr>
        <w:ind w:firstLine="0"/>
        <w:jc w:val="center"/>
        <w:rPr>
          <w:sz w:val="28"/>
          <w:szCs w:val="28"/>
        </w:rPr>
      </w:pPr>
    </w:p>
    <w:p w:rsidR="008F60DD" w:rsidRDefault="008F60DD">
      <w:pPr>
        <w:ind w:firstLine="0"/>
        <w:jc w:val="center"/>
        <w:rPr>
          <w:sz w:val="28"/>
          <w:szCs w:val="28"/>
        </w:rPr>
      </w:pPr>
    </w:p>
    <w:p w:rsidR="008F60DD" w:rsidRDefault="008F60DD">
      <w:pPr>
        <w:ind w:firstLine="0"/>
        <w:jc w:val="center"/>
        <w:rPr>
          <w:sz w:val="28"/>
          <w:szCs w:val="28"/>
        </w:rPr>
      </w:pPr>
    </w:p>
    <w:p w:rsidR="008F60DD" w:rsidRDefault="008F60DD">
      <w:pPr>
        <w:ind w:firstLine="0"/>
        <w:jc w:val="center"/>
        <w:rPr>
          <w:sz w:val="28"/>
          <w:szCs w:val="28"/>
        </w:rPr>
      </w:pPr>
    </w:p>
    <w:p w:rsidR="008F60DD" w:rsidRDefault="008F60DD">
      <w:pPr>
        <w:ind w:firstLine="0"/>
        <w:rPr>
          <w:sz w:val="28"/>
          <w:szCs w:val="28"/>
        </w:rPr>
      </w:pPr>
    </w:p>
    <w:p w:rsidR="008F60DD" w:rsidRDefault="008F60DD">
      <w:pPr>
        <w:ind w:firstLine="0"/>
        <w:rPr>
          <w:sz w:val="28"/>
          <w:szCs w:val="28"/>
        </w:rPr>
      </w:pPr>
    </w:p>
    <w:p w:rsidR="008F60DD" w:rsidRDefault="008F60DD">
      <w:pPr>
        <w:ind w:firstLine="0"/>
        <w:jc w:val="center"/>
        <w:rPr>
          <w:sz w:val="28"/>
          <w:szCs w:val="28"/>
        </w:rPr>
      </w:pPr>
    </w:p>
    <w:p w:rsidR="008F60DD" w:rsidRDefault="0027234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  <w:r w:rsidR="0072476F">
        <w:rPr>
          <w:sz w:val="28"/>
          <w:szCs w:val="28"/>
        </w:rPr>
        <w:t xml:space="preserve"> г.</w:t>
      </w:r>
    </w:p>
    <w:p w:rsidR="008F60DD" w:rsidRDefault="007247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br w:type="page"/>
      </w:r>
      <w:r>
        <w:rPr>
          <w:b/>
          <w:i/>
          <w:color w:val="000000"/>
          <w:sz w:val="28"/>
          <w:szCs w:val="28"/>
          <w:highlight w:val="white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</w:t>
      </w:r>
      <w:r>
        <w:rPr>
          <w:b/>
          <w:i/>
          <w:color w:val="000000"/>
          <w:sz w:val="28"/>
          <w:szCs w:val="28"/>
          <w:highlight w:val="white"/>
        </w:rPr>
        <w:t>.</w:t>
      </w:r>
    </w:p>
    <w:p w:rsidR="008F60DD" w:rsidRDefault="007247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8F60DD" w:rsidRDefault="007247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8F60DD" w:rsidRDefault="007247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Контроль знаний проводится в форме текущего контроля и промежуточной аттестации.</w:t>
      </w:r>
    </w:p>
    <w:p w:rsidR="008F60DD" w:rsidRDefault="007247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</w:t>
      </w:r>
      <w:r>
        <w:rPr>
          <w:b/>
          <w:i/>
          <w:color w:val="000000"/>
          <w:sz w:val="28"/>
          <w:szCs w:val="28"/>
          <w:highlight w:val="white"/>
        </w:rPr>
        <w:t>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F60DD" w:rsidRDefault="007247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К контролю текущей успеваемости относятся проверка знаний, умений и </w:t>
      </w:r>
      <w:r>
        <w:rPr>
          <w:b/>
          <w:i/>
          <w:color w:val="000000"/>
          <w:sz w:val="28"/>
          <w:szCs w:val="28"/>
          <w:highlight w:val="white"/>
        </w:rPr>
        <w:t>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</w:t>
      </w:r>
      <w:r>
        <w:rPr>
          <w:b/>
          <w:i/>
          <w:color w:val="000000"/>
          <w:sz w:val="28"/>
          <w:szCs w:val="28"/>
          <w:highlight w:val="white"/>
        </w:rPr>
        <w:t xml:space="preserve">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8F60DD" w:rsidRDefault="007247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Результат выполнения каждого индивидуального задания должен соответствовать всем критериям оценки в соответствии с компетен</w:t>
      </w:r>
      <w:r>
        <w:rPr>
          <w:b/>
          <w:i/>
          <w:color w:val="000000"/>
          <w:sz w:val="28"/>
          <w:szCs w:val="28"/>
          <w:highlight w:val="white"/>
        </w:rPr>
        <w:t>циями, установленными для заданного раздела дисциплины.</w:t>
      </w:r>
    </w:p>
    <w:p w:rsidR="008F60DD" w:rsidRDefault="007247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Промежуточный контроль по дисциплине осуществляется проведением экзамена. </w:t>
      </w:r>
    </w:p>
    <w:p w:rsidR="008F60DD" w:rsidRDefault="007247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Форма проведения экзамена – письменный ответ по утвержденным экзаменационным билетам, сформулированным с учетом содержания уч</w:t>
      </w:r>
      <w:r>
        <w:rPr>
          <w:b/>
          <w:i/>
          <w:color w:val="000000"/>
          <w:sz w:val="28"/>
          <w:szCs w:val="28"/>
          <w:highlight w:val="white"/>
        </w:rPr>
        <w:t>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8F60DD" w:rsidRDefault="008F6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8F60DD" w:rsidRDefault="008F6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8F60DD" w:rsidRDefault="008F6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8F60DD" w:rsidRDefault="008F6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8F60DD" w:rsidRDefault="008F6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8F60DD" w:rsidRDefault="008F6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8F60DD" w:rsidRDefault="008F6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8F60DD" w:rsidRDefault="008F6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8F60DD" w:rsidRDefault="008F6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8F60DD" w:rsidRDefault="00724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Паспорт оценочных материалов по дисциплине</w:t>
      </w:r>
    </w:p>
    <w:p w:rsidR="008F60DD" w:rsidRDefault="008F60D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fd"/>
        <w:tblW w:w="9364" w:type="dxa"/>
        <w:tblInd w:w="0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8F60DD">
        <w:trPr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0DD" w:rsidRDefault="0072476F">
            <w:pPr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0DD" w:rsidRDefault="00724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3"/>
                <w:szCs w:val="23"/>
              </w:rPr>
              <w:t>Контролируемые разделы (темы) дисциплины</w:t>
            </w:r>
          </w:p>
          <w:p w:rsidR="008F60DD" w:rsidRDefault="0072476F">
            <w:pPr>
              <w:pStyle w:val="2"/>
              <w:keepLines w:val="0"/>
              <w:widowControl/>
              <w:tabs>
                <w:tab w:val="center" w:pos="1805"/>
                <w:tab w:val="left" w:pos="2655"/>
              </w:tabs>
              <w:spacing w:before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0DD" w:rsidRDefault="00724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DD" w:rsidRDefault="0072476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8F60DD">
        <w:trPr>
          <w:trHeight w:val="29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0DD" w:rsidRDefault="008F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0DD" w:rsidRDefault="008F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0DD" w:rsidRDefault="008F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DD" w:rsidRDefault="008F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8F60D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0DD" w:rsidRDefault="00724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0DD" w:rsidRDefault="00724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0DD" w:rsidRDefault="00724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DD" w:rsidRDefault="00724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F60DD">
        <w:trPr>
          <w:trHeight w:val="15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телеуправление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ПК-2.5-</w:t>
            </w:r>
            <w:r>
              <w:rPr>
                <w:sz w:val="24"/>
                <w:szCs w:val="24"/>
              </w:rPr>
              <w:t>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ПК-2.5-В</w:t>
            </w:r>
          </w:p>
          <w:p w:rsidR="008F60DD" w:rsidRDefault="007247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ПК-2.6-З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ПК-2.6-В</w:t>
            </w:r>
          </w:p>
          <w:p w:rsidR="008F60DD" w:rsidRDefault="007247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ПК-3.1-В</w:t>
            </w:r>
          </w:p>
          <w:p w:rsidR="008F60DD" w:rsidRDefault="007247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ПК-4.1-В</w:t>
            </w:r>
          </w:p>
          <w:p w:rsidR="008F60DD" w:rsidRDefault="007247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ПК-4.2-З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ПК-4.2-В</w:t>
            </w:r>
          </w:p>
          <w:p w:rsidR="008F60DD" w:rsidRDefault="007247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ПК-4.3-З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ПК-4.3-В</w:t>
            </w:r>
          </w:p>
          <w:p w:rsidR="008F60DD" w:rsidRDefault="007247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ПК-5.1-В</w:t>
            </w:r>
          </w:p>
          <w:p w:rsidR="008F60DD" w:rsidRDefault="007247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ПК-5.2-З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ПК-5.2-В</w:t>
            </w:r>
          </w:p>
          <w:p w:rsidR="008F60DD" w:rsidRDefault="007247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ПК-5.3-З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DD" w:rsidRDefault="00724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8F60DD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ПК-4.2-В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DD" w:rsidRDefault="00724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</w:p>
        </w:tc>
      </w:tr>
      <w:tr w:rsidR="008F60DD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Модуляция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DD" w:rsidRDefault="00724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8F60DD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Немодулированная передача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ПК-4.2-З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DD" w:rsidRDefault="00724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</w:p>
        </w:tc>
      </w:tr>
      <w:tr w:rsidR="008F60DD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Цифровая модуляция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DD" w:rsidRDefault="00724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8F60DD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ПК-2.6-В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ПК-4.1-У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ПК-5.2-В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ПК-5.3-З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ПК-5.3-У</w:t>
            </w:r>
          </w:p>
          <w:p w:rsidR="008F60DD" w:rsidRDefault="0072476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DD" w:rsidRDefault="00724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</w:p>
        </w:tc>
      </w:tr>
    </w:tbl>
    <w:p w:rsidR="008F60DD" w:rsidRDefault="008F60D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F60DD" w:rsidRDefault="0072476F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8F60DD" w:rsidRDefault="008F60DD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8F60DD" w:rsidRDefault="007247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1). Уровень усвоения материала, предусмотренного программой.</w:t>
      </w:r>
    </w:p>
    <w:p w:rsidR="008F60DD" w:rsidRDefault="007247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F60DD" w:rsidRDefault="007247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3). Ответы на вопросы: полнота, аргументированность, убежденность, умение</w:t>
      </w:r>
    </w:p>
    <w:p w:rsidR="008F60DD" w:rsidRDefault="007247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F60DD" w:rsidRDefault="007247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5). Использование д</w:t>
      </w:r>
      <w:r>
        <w:rPr>
          <w:color w:val="000000"/>
          <w:sz w:val="28"/>
          <w:szCs w:val="28"/>
        </w:rPr>
        <w:t>ополнительной литературы при подготовке ответов.</w:t>
      </w:r>
    </w:p>
    <w:p w:rsidR="008F60DD" w:rsidRDefault="008F6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b/>
          <w:i/>
          <w:color w:val="000000"/>
          <w:sz w:val="28"/>
          <w:szCs w:val="28"/>
          <w:highlight w:val="white"/>
        </w:rPr>
      </w:pPr>
    </w:p>
    <w:p w:rsidR="008F60DD" w:rsidRDefault="0072476F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8F60DD" w:rsidRDefault="0072476F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«Отлично» </w:t>
      </w:r>
      <w:r>
        <w:rPr>
          <w:color w:val="000000"/>
          <w:sz w:val="28"/>
          <w:szCs w:val="28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</w:t>
      </w:r>
      <w:r>
        <w:rPr>
          <w:color w:val="000000"/>
          <w:sz w:val="28"/>
          <w:szCs w:val="28"/>
        </w:rPr>
        <w:t>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</w:t>
      </w:r>
      <w:r>
        <w:rPr>
          <w:color w:val="000000"/>
          <w:sz w:val="28"/>
          <w:szCs w:val="28"/>
        </w:rPr>
        <w:t>а.</w:t>
      </w:r>
    </w:p>
    <w:p w:rsidR="008F60DD" w:rsidRDefault="0072476F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«Хорошо» </w:t>
      </w:r>
      <w:r>
        <w:rPr>
          <w:color w:val="000000"/>
          <w:sz w:val="28"/>
          <w:szCs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</w:t>
      </w:r>
      <w:r>
        <w:rPr>
          <w:color w:val="000000"/>
          <w:sz w:val="28"/>
          <w:szCs w:val="28"/>
        </w:rPr>
        <w:t>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8F60DD" w:rsidRDefault="0072476F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 xml:space="preserve">«Удовлетворительно» </w:t>
      </w:r>
      <w:r>
        <w:rPr>
          <w:color w:val="000000"/>
          <w:sz w:val="28"/>
          <w:szCs w:val="28"/>
        </w:rPr>
        <w:t xml:space="preserve">заслуживает студент, обнаруживший знания </w:t>
      </w:r>
      <w:r>
        <w:rPr>
          <w:color w:val="000000"/>
          <w:sz w:val="28"/>
          <w:szCs w:val="28"/>
        </w:rPr>
        <w:lastRenderedPageBreak/>
        <w:t>основного</w:t>
      </w:r>
      <w:r>
        <w:rPr>
          <w:color w:val="000000"/>
          <w:sz w:val="28"/>
          <w:szCs w:val="28"/>
        </w:rPr>
        <w:t xml:space="preserve">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</w:t>
      </w:r>
      <w:r>
        <w:rPr>
          <w:color w:val="000000"/>
          <w:sz w:val="28"/>
          <w:szCs w:val="28"/>
        </w:rPr>
        <w:t>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F60DD" w:rsidRDefault="0072476F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«Неудовлетворительно» </w:t>
      </w:r>
      <w:r>
        <w:rPr>
          <w:color w:val="000000"/>
          <w:sz w:val="28"/>
          <w:szCs w:val="28"/>
        </w:rPr>
        <w:t>выставляется с</w:t>
      </w:r>
      <w:r>
        <w:rPr>
          <w:color w:val="000000"/>
          <w:sz w:val="28"/>
          <w:szCs w:val="28"/>
        </w:rPr>
        <w:t xml:space="preserve">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</w:t>
      </w:r>
      <w:r>
        <w:rPr>
          <w:color w:val="000000"/>
          <w:sz w:val="28"/>
          <w:szCs w:val="28"/>
        </w:rPr>
        <w:t>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F60DD" w:rsidRDefault="008F6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</w:p>
    <w:p w:rsidR="008F60DD" w:rsidRDefault="008F6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</w:p>
    <w:p w:rsidR="008F60DD" w:rsidRDefault="008F6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</w:p>
    <w:p w:rsidR="008F60DD" w:rsidRDefault="00724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Типовые контрольные задания или иные материалы</w:t>
      </w:r>
    </w:p>
    <w:p w:rsidR="008F60DD" w:rsidRDefault="008F60D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8F60DD" w:rsidRDefault="007247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дисциплине</w:t>
      </w:r>
    </w:p>
    <w:p w:rsidR="008F60DD" w:rsidRDefault="008F60D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8F60DD" w:rsidRDefault="00724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телеуправления. Область применения. Телеметрируемые параметры (функциональные и сигнальные). Информационно- телеметрический комплекс. Групповой телеметрический сигнал. Временное и частотное разделение каналов. Информационно- телеметрическая система</w:t>
      </w:r>
      <w:r>
        <w:rPr>
          <w:color w:val="000000"/>
          <w:sz w:val="28"/>
          <w:szCs w:val="28"/>
        </w:rPr>
        <w:t xml:space="preserve"> (ИТС). Классификация ИТС. Каналы и линии передачи телеметрической информации. Проводные линии связи. Оптоволоконные линии связи. Радиосвязь.</w:t>
      </w:r>
    </w:p>
    <w:p w:rsidR="008F60DD" w:rsidRDefault="00724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Тепловой шум. Дробовый шум. Фликер-шум. Эквивалентная шумовая мощность. Эффективная шумовая температура. Отношение</w:t>
      </w:r>
      <w:r>
        <w:rPr>
          <w:color w:val="000000"/>
          <w:sz w:val="28"/>
          <w:szCs w:val="28"/>
        </w:rPr>
        <w:t xml:space="preserve"> сигнал/шум. Коэффициент шума. Формула де Фрииса.</w:t>
      </w:r>
    </w:p>
    <w:p w:rsidR="008F60DD" w:rsidRDefault="00724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модуляции. Гармонические модулированные колебания. Амплитудная модуляция (АМ). Однотональная АМ. Многотональная АМ. АМ с подавленной несущей (балансная АМ). Однополосная АМ. Анализ узкополосных сигн</w:t>
      </w:r>
      <w:r>
        <w:rPr>
          <w:color w:val="000000"/>
          <w:sz w:val="28"/>
          <w:szCs w:val="28"/>
        </w:rPr>
        <w:t>алов. Комплексная огибающая. Амплитудная огибающая. Фазовая функция. Преобразование Гильберта. Спектр аналитического сигнала. Полярная АМ. Аппаратные реализации АМ. Угловая модуляция (УМ). Фазовая модуляция. Частотная модуляция. Спектр сигнала с гармоничес</w:t>
      </w:r>
      <w:r>
        <w:rPr>
          <w:color w:val="000000"/>
          <w:sz w:val="28"/>
          <w:szCs w:val="28"/>
        </w:rPr>
        <w:t>кой УМ. Модуляция/демодуляция ЧМ-сигналов. Квадратурная модуляция. Импульсно-кодовая модуляция (ИКМ). Сравнение ИКМ, АМ, ЧМ и ФМ. Амплитудно- импульсная модуляция. Широтно-импульсная модуляция. Временная импульсная модуляция. Мультиплексирование с разделен</w:t>
      </w:r>
      <w:r>
        <w:rPr>
          <w:color w:val="000000"/>
          <w:sz w:val="28"/>
          <w:szCs w:val="28"/>
        </w:rPr>
        <w:t>ием по частоте и по времени на примере системы сотовой связи стандарта GSM.</w:t>
      </w:r>
    </w:p>
    <w:p w:rsidR="008F60DD" w:rsidRDefault="00724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Понятие немодулированной передачи. Межсимвольные помехи. Глазковая диаграмма. Частота появления ошибочных битов. Многоуровневые сигналы при немодулированной цифровой передаче. Емко</w:t>
      </w:r>
      <w:r>
        <w:rPr>
          <w:color w:val="000000"/>
          <w:sz w:val="28"/>
          <w:szCs w:val="28"/>
        </w:rPr>
        <w:t>сть канала связи.</w:t>
      </w:r>
    </w:p>
    <w:p w:rsidR="008F60DD" w:rsidRDefault="00724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цифровой модуляции. Амплитудная манипуляция (АМн). Фазовая манипуляция (ФМн). Скрамблер. Дескрамблер. Частотная манипуляция (ЧМн). Квадратурная манипуляция (КМн). Фильтр нижних частот с косинусоидальным сглаживанием в качестве экв</w:t>
      </w:r>
      <w:r>
        <w:rPr>
          <w:color w:val="000000"/>
          <w:sz w:val="28"/>
          <w:szCs w:val="28"/>
        </w:rPr>
        <w:t>алайзера. Выравнивание частотной характеристики канала связи с помощью адаптивного фильтра. Эхоподавление с помощью адаптивного фильтра.</w:t>
      </w:r>
    </w:p>
    <w:p w:rsidR="008F60DD" w:rsidRDefault="00724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HART-протокол. MODBUS (стандартный клиент). Полу/полнодуплексная передача. Дифференциальный и абсолютный сигнал. Асинхр</w:t>
      </w:r>
      <w:r>
        <w:rPr>
          <w:color w:val="000000"/>
          <w:sz w:val="28"/>
          <w:szCs w:val="28"/>
        </w:rPr>
        <w:t>онная/синхронная передача. USART. SPI. I2C. RS485. RS232. RS422. USB. Ethernet.</w:t>
      </w:r>
    </w:p>
    <w:sectPr w:rsidR="008F60DD" w:rsidSect="008F60DD"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76F" w:rsidRDefault="0072476F" w:rsidP="008F60DD">
      <w:pPr>
        <w:spacing w:line="240" w:lineRule="auto"/>
      </w:pPr>
      <w:r>
        <w:separator/>
      </w:r>
    </w:p>
  </w:endnote>
  <w:endnote w:type="continuationSeparator" w:id="0">
    <w:p w:rsidR="0072476F" w:rsidRDefault="0072476F" w:rsidP="008F6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DD" w:rsidRDefault="008F60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72476F">
      <w:rPr>
        <w:color w:val="000000"/>
      </w:rPr>
      <w:instrText>PAGE</w:instrText>
    </w:r>
    <w:r w:rsidR="0027234A">
      <w:rPr>
        <w:color w:val="000000"/>
      </w:rPr>
      <w:fldChar w:fldCharType="separate"/>
    </w:r>
    <w:r w:rsidR="0027234A">
      <w:rPr>
        <w:noProof/>
        <w:color w:val="000000"/>
      </w:rPr>
      <w:t>2</w:t>
    </w:r>
    <w:r>
      <w:rPr>
        <w:color w:val="000000"/>
      </w:rPr>
      <w:fldChar w:fldCharType="end"/>
    </w:r>
  </w:p>
  <w:p w:rsidR="008F60DD" w:rsidRDefault="008F60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76F" w:rsidRDefault="0072476F" w:rsidP="008F60DD">
      <w:pPr>
        <w:spacing w:line="240" w:lineRule="auto"/>
      </w:pPr>
      <w:r>
        <w:separator/>
      </w:r>
    </w:p>
  </w:footnote>
  <w:footnote w:type="continuationSeparator" w:id="0">
    <w:p w:rsidR="0072476F" w:rsidRDefault="0072476F" w:rsidP="008F60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00"/>
    <w:multiLevelType w:val="multilevel"/>
    <w:tmpl w:val="38464F4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pStyle w:val="4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446487D"/>
    <w:multiLevelType w:val="multilevel"/>
    <w:tmpl w:val="5AB2F9A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0DD"/>
    <w:rsid w:val="0027234A"/>
    <w:rsid w:val="0072476F"/>
    <w:rsid w:val="008F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spacing w:line="300" w:lineRule="auto"/>
        <w:ind w:firstLine="7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B4"/>
    <w:rPr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normal"/>
    <w:next w:val="normal"/>
    <w:rsid w:val="008F60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b/>
      <w:kern w:val="0"/>
      <w:sz w:val="28"/>
      <w:szCs w:val="28"/>
      <w:lang w:eastAsia="zh-CN"/>
    </w:rPr>
  </w:style>
  <w:style w:type="paragraph" w:styleId="5">
    <w:name w:val="heading 5"/>
    <w:basedOn w:val="normal"/>
    <w:next w:val="normal"/>
    <w:rsid w:val="008F60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F60DD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F60DD"/>
  </w:style>
  <w:style w:type="table" w:customStyle="1" w:styleId="TableNormal">
    <w:name w:val="Table Normal"/>
    <w:rsid w:val="008F60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F60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5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link w:val="a6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ink w:val="a9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rsid w:val="009F027F"/>
    <w:pPr>
      <w:shd w:val="clear" w:color="auto" w:fill="FFFFFF"/>
      <w:spacing w:line="240" w:lineRule="atLeast"/>
      <w:ind w:firstLine="0"/>
    </w:pPr>
    <w:rPr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b/>
      <w:bCs/>
      <w:kern w:val="0"/>
      <w:sz w:val="26"/>
      <w:szCs w:val="26"/>
      <w:lang w:eastAsia="en-US"/>
    </w:rPr>
  </w:style>
  <w:style w:type="paragraph" w:styleId="aa">
    <w:name w:val="header"/>
    <w:basedOn w:val="a"/>
    <w:link w:val="ab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link w:val="aa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footer"/>
    <w:basedOn w:val="a"/>
    <w:link w:val="ad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e">
    <w:name w:val="Balloon Text"/>
    <w:basedOn w:val="a"/>
    <w:link w:val="af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0">
    <w:name w:val="Body Text Indent 3"/>
    <w:basedOn w:val="a"/>
    <w:link w:val="31"/>
    <w:rsid w:val="001962B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0">
    <w:name w:val="Body Text Indent"/>
    <w:basedOn w:val="a"/>
    <w:link w:val="af1"/>
    <w:rsid w:val="001962B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kern w:val="0"/>
      <w:sz w:val="24"/>
      <w:szCs w:val="24"/>
      <w:lang w:eastAsia="zh-CN"/>
    </w:rPr>
  </w:style>
  <w:style w:type="paragraph" w:styleId="af2">
    <w:name w:val="Subtitle"/>
    <w:basedOn w:val="normal"/>
    <w:next w:val="normal"/>
    <w:link w:val="af3"/>
    <w:rsid w:val="008F60DD"/>
    <w:pPr>
      <w:widowControl/>
      <w:shd w:val="clear" w:color="auto" w:fill="FFFFFF"/>
      <w:spacing w:line="360" w:lineRule="auto"/>
      <w:ind w:firstLine="720"/>
      <w:jc w:val="center"/>
    </w:pPr>
    <w:rPr>
      <w:b/>
      <w:color w:val="000000"/>
      <w:sz w:val="32"/>
      <w:szCs w:val="32"/>
    </w:rPr>
  </w:style>
  <w:style w:type="character" w:customStyle="1" w:styleId="af3">
    <w:name w:val="Подзаголовок Знак"/>
    <w:link w:val="af2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ind w:firstLine="720"/>
      <w:jc w:val="both"/>
    </w:pPr>
    <w:rPr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0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4">
    <w:name w:val="Hyperlink"/>
    <w:rsid w:val="000C4A05"/>
    <w:rPr>
      <w:rFonts w:cs="Times New Roman"/>
      <w:color w:val="0000FF"/>
      <w:u w:val="single"/>
    </w:rPr>
  </w:style>
  <w:style w:type="character" w:styleId="af5">
    <w:name w:val="annotation reference"/>
    <w:semiHidden/>
    <w:rsid w:val="00104F3D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104F3D"/>
    <w:pPr>
      <w:spacing w:line="240" w:lineRule="auto"/>
    </w:pPr>
  </w:style>
  <w:style w:type="character" w:customStyle="1" w:styleId="af7">
    <w:name w:val="Текст примечания Знак"/>
    <w:link w:val="af6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8">
    <w:name w:val="annotation subject"/>
    <w:basedOn w:val="af6"/>
    <w:next w:val="af6"/>
    <w:link w:val="af9"/>
    <w:semiHidden/>
    <w:rsid w:val="00104F3D"/>
    <w:rPr>
      <w:b/>
      <w:bCs/>
    </w:rPr>
  </w:style>
  <w:style w:type="character" w:customStyle="1" w:styleId="af9">
    <w:name w:val="Тема примечания Знак"/>
    <w:link w:val="af8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a">
    <w:name w:val="Plain Text"/>
    <w:basedOn w:val="a"/>
    <w:rsid w:val="005505D9"/>
    <w:rPr>
      <w:rFonts w:ascii="Courier New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hAnsi="Courier New" w:cs="Courier New"/>
      <w:kern w:val="0"/>
      <w:sz w:val="24"/>
      <w:lang w:eastAsia="zh-CN"/>
    </w:rPr>
  </w:style>
  <w:style w:type="paragraph" w:styleId="afb">
    <w:name w:val="Normal (Web)"/>
    <w:basedOn w:val="a"/>
    <w:uiPriority w:val="99"/>
    <w:unhideWhenUsed/>
    <w:locked/>
    <w:rsid w:val="00A25D20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D81E04"/>
    <w:pPr>
      <w:ind w:left="720"/>
      <w:contextualSpacing/>
    </w:pPr>
  </w:style>
  <w:style w:type="table" w:customStyle="1" w:styleId="afd">
    <w:basedOn w:val="TableNormal"/>
    <w:rsid w:val="008F60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aWhfiiNAihPxBlAxacgDnwl7Bg==">AMUW2mUB2XMMAqRxCgNnzsmH3j3RN7lSpQ6k/ZphoP2gBXMAhIfglH8dJxAM+BdlGHfrBKErZLjPXNd0/veuDL/agJ2P3BSKuEJObV+TKPXkYOiR2DBRWToO1faDon+ZQLiAYkYPvUok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1341</Words>
  <Characters>7645</Characters>
  <Application>Microsoft Office Word</Application>
  <DocSecurity>0</DocSecurity>
  <Lines>63</Lines>
  <Paragraphs>17</Paragraphs>
  <ScaleCrop>false</ScaleCrop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Admin</cp:lastModifiedBy>
  <cp:revision>2</cp:revision>
  <dcterms:created xsi:type="dcterms:W3CDTF">2021-07-17T15:32:00Z</dcterms:created>
  <dcterms:modified xsi:type="dcterms:W3CDTF">2023-07-25T08:35:00Z</dcterms:modified>
</cp:coreProperties>
</file>