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B4" w:rsidRPr="007B72B4" w:rsidRDefault="007B72B4" w:rsidP="007B72B4">
      <w:pPr>
        <w:pStyle w:val="aa"/>
        <w:jc w:val="center"/>
        <w:rPr>
          <w:i w:val="0"/>
          <w:color w:val="000000"/>
          <w:szCs w:val="24"/>
        </w:rPr>
      </w:pPr>
      <w:r w:rsidRPr="007B72B4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91550" w:rsidRDefault="007B72B4" w:rsidP="007B72B4">
      <w:pPr>
        <w:pStyle w:val="aa"/>
        <w:ind w:firstLine="0"/>
        <w:jc w:val="center"/>
        <w:rPr>
          <w:i w:val="0"/>
          <w:color w:val="000000"/>
          <w:sz w:val="32"/>
        </w:rPr>
      </w:pPr>
      <w:r w:rsidRPr="007B72B4">
        <w:rPr>
          <w:i w:val="0"/>
          <w:color w:val="000000"/>
          <w:szCs w:val="24"/>
        </w:rPr>
        <w:t>РОССИЙСКОЙ ФЕДЕРАЦИИ</w:t>
      </w:r>
    </w:p>
    <w:p w:rsidR="00091550" w:rsidRDefault="00091550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91550" w:rsidRDefault="00091550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РЯЗАНСКИЙ ГОСУДАРСТВЕНН</w:t>
      </w:r>
      <w:r w:rsidR="007B72B4">
        <w:rPr>
          <w:rFonts w:ascii="Times New Roman" w:hAnsi="Times New Roman" w:cs="Times New Roman"/>
          <w:sz w:val="24"/>
        </w:rPr>
        <w:t xml:space="preserve">ЫЙ РАДИОТЕХНИЧЕСКИЙ УНИВЕРСИТЕТ </w:t>
      </w:r>
      <w:r w:rsidR="007B72B4" w:rsidRPr="007B72B4">
        <w:rPr>
          <w:rFonts w:ascii="Times New Roman" w:hAnsi="Times New Roman" w:cs="Times New Roman"/>
          <w:sz w:val="24"/>
        </w:rPr>
        <w:t>ИМЕНИ В.Ф. УТКИНА</w:t>
      </w:r>
    </w:p>
    <w:p w:rsidR="00091550" w:rsidRDefault="00091550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91550" w:rsidRDefault="00091550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91550" w:rsidRDefault="00091550">
      <w:pPr>
        <w:rPr>
          <w:rFonts w:ascii="Times New Roman" w:hAnsi="Times New Roman"/>
          <w:sz w:val="28"/>
          <w:szCs w:val="28"/>
        </w:rPr>
      </w:pPr>
    </w:p>
    <w:p w:rsidR="00091550" w:rsidRDefault="00091550">
      <w:pPr>
        <w:rPr>
          <w:rFonts w:ascii="Times New Roman" w:hAnsi="Times New Roman"/>
          <w:sz w:val="28"/>
          <w:szCs w:val="28"/>
        </w:rPr>
      </w:pPr>
    </w:p>
    <w:p w:rsidR="00B46452" w:rsidRDefault="00B46452">
      <w:pPr>
        <w:rPr>
          <w:rFonts w:ascii="Times New Roman" w:hAnsi="Times New Roman"/>
          <w:sz w:val="28"/>
          <w:szCs w:val="28"/>
        </w:rPr>
      </w:pPr>
    </w:p>
    <w:p w:rsidR="00B46452" w:rsidRDefault="00091550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ОЦЕНОЧНЫЕ МАТЕРИАЛЫ </w:t>
      </w:r>
    </w:p>
    <w:p w:rsidR="00091550" w:rsidRPr="00B46452" w:rsidRDefault="00B46452">
      <w:pPr>
        <w:widowControl w:val="0"/>
        <w:shd w:val="clear" w:color="auto" w:fill="FFFFFF"/>
        <w:autoSpaceDE w:val="0"/>
        <w:jc w:val="center"/>
      </w:pPr>
      <w:r w:rsidRPr="00B464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дисциплине</w:t>
      </w:r>
    </w:p>
    <w:p w:rsidR="00091550" w:rsidRDefault="00091550">
      <w:pPr>
        <w:jc w:val="center"/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B46452" w:rsidRPr="00B46452">
        <w:rPr>
          <w:rFonts w:ascii="Times New Roman" w:hAnsi="Times New Roman"/>
          <w:b/>
          <w:sz w:val="32"/>
          <w:szCs w:val="32"/>
        </w:rPr>
        <w:t>Цифровые многоканальные системы передачи информации</w:t>
      </w:r>
      <w:r>
        <w:rPr>
          <w:rFonts w:ascii="Times New Roman" w:hAnsi="Times New Roman"/>
          <w:sz w:val="28"/>
        </w:rPr>
        <w:t>»</w:t>
      </w: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B46452" w:rsidRPr="00B46452" w:rsidRDefault="009749EC" w:rsidP="00B464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11.05.01</w:t>
      </w:r>
      <w:r w:rsidR="00B46452" w:rsidRPr="00B46452">
        <w:rPr>
          <w:rFonts w:ascii="Times New Roman" w:hAnsi="Times New Roman"/>
          <w:sz w:val="28"/>
        </w:rPr>
        <w:t xml:space="preserve"> «Радиоэлектронные системы и комплексы»</w:t>
      </w:r>
    </w:p>
    <w:p w:rsidR="007B72B4" w:rsidRDefault="00B46452" w:rsidP="00B46452">
      <w:pPr>
        <w:jc w:val="center"/>
        <w:rPr>
          <w:rFonts w:ascii="Times New Roman" w:hAnsi="Times New Roman"/>
          <w:sz w:val="28"/>
        </w:rPr>
      </w:pPr>
      <w:r w:rsidRPr="00B46452">
        <w:rPr>
          <w:rFonts w:ascii="Times New Roman" w:hAnsi="Times New Roman"/>
          <w:sz w:val="28"/>
        </w:rPr>
        <w:t>Специализация 1 – «Радиоэлектронные системы передачи информации»</w:t>
      </w:r>
    </w:p>
    <w:p w:rsidR="00091550" w:rsidRDefault="00091550">
      <w:pPr>
        <w:jc w:val="center"/>
      </w:pPr>
      <w:r>
        <w:rPr>
          <w:rFonts w:ascii="Times New Roman" w:hAnsi="Times New Roman"/>
          <w:sz w:val="28"/>
        </w:rPr>
        <w:t xml:space="preserve">Квалификация (степень) выпускника – </w:t>
      </w:r>
      <w:r w:rsidR="00B46452">
        <w:rPr>
          <w:rFonts w:ascii="Times New Roman" w:hAnsi="Times New Roman"/>
          <w:sz w:val="28"/>
        </w:rPr>
        <w:t>специалист</w:t>
      </w: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091550" w:rsidRDefault="00B46452">
      <w:pPr>
        <w:jc w:val="center"/>
      </w:pPr>
      <w:r>
        <w:rPr>
          <w:rFonts w:ascii="Times New Roman" w:hAnsi="Times New Roman"/>
          <w:sz w:val="28"/>
        </w:rPr>
        <w:t>Форма обучения</w:t>
      </w:r>
      <w:r w:rsidR="00091550">
        <w:rPr>
          <w:rFonts w:ascii="Times New Roman" w:hAnsi="Times New Roman"/>
          <w:sz w:val="28"/>
        </w:rPr>
        <w:t xml:space="preserve"> - очная</w:t>
      </w: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091550" w:rsidRDefault="00091550">
      <w:pPr>
        <w:jc w:val="center"/>
        <w:rPr>
          <w:rFonts w:ascii="Times New Roman" w:hAnsi="Times New Roman"/>
          <w:sz w:val="28"/>
        </w:rPr>
      </w:pPr>
    </w:p>
    <w:p w:rsidR="00B46452" w:rsidRDefault="00B46452">
      <w:pPr>
        <w:jc w:val="center"/>
        <w:rPr>
          <w:rFonts w:ascii="Times New Roman" w:hAnsi="Times New Roman"/>
          <w:sz w:val="28"/>
        </w:rPr>
      </w:pPr>
    </w:p>
    <w:p w:rsidR="00B46452" w:rsidRDefault="00B46452">
      <w:pPr>
        <w:jc w:val="center"/>
        <w:rPr>
          <w:rFonts w:ascii="Times New Roman" w:hAnsi="Times New Roman"/>
          <w:sz w:val="28"/>
        </w:rPr>
      </w:pPr>
    </w:p>
    <w:p w:rsidR="00B46452" w:rsidRDefault="00B46452">
      <w:pPr>
        <w:jc w:val="center"/>
        <w:rPr>
          <w:rFonts w:ascii="Times New Roman" w:hAnsi="Times New Roman"/>
          <w:sz w:val="28"/>
        </w:rPr>
      </w:pPr>
    </w:p>
    <w:p w:rsidR="00091550" w:rsidRDefault="007B72B4">
      <w:pPr>
        <w:jc w:val="center"/>
      </w:pPr>
      <w:r>
        <w:rPr>
          <w:rFonts w:ascii="Times New Roman" w:hAnsi="Times New Roman"/>
          <w:sz w:val="28"/>
        </w:rPr>
        <w:t>Рязань 20</w:t>
      </w:r>
      <w:r w:rsidR="001C6D38">
        <w:rPr>
          <w:rFonts w:ascii="Times New Roman" w:hAnsi="Times New Roman"/>
          <w:sz w:val="28"/>
        </w:rPr>
        <w:t>18</w:t>
      </w:r>
      <w:bookmarkStart w:id="0" w:name="_GoBack"/>
      <w:bookmarkEnd w:id="0"/>
    </w:p>
    <w:p w:rsidR="00091550" w:rsidRDefault="00091550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91550" w:rsidRDefault="00091550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091550" w:rsidRDefault="00091550">
      <w:pPr>
        <w:pStyle w:val="ad"/>
        <w:shd w:val="clear" w:color="auto" w:fill="auto"/>
        <w:spacing w:line="240" w:lineRule="auto"/>
        <w:ind w:firstLine="708"/>
        <w:jc w:val="both"/>
      </w:pPr>
    </w:p>
    <w:p w:rsidR="00091550" w:rsidRDefault="00091550">
      <w:pPr>
        <w:pStyle w:val="ad"/>
        <w:shd w:val="clear" w:color="auto" w:fill="auto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2. Паспорт фонда оценочных средств по дисциплине (модулю)</w:t>
      </w:r>
    </w:p>
    <w:p w:rsidR="00091550" w:rsidRDefault="00091550">
      <w:pPr>
        <w:pStyle w:val="ad"/>
        <w:shd w:val="clear" w:color="auto" w:fill="auto"/>
        <w:spacing w:line="24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156"/>
      </w:tblGrid>
      <w:tr w:rsidR="00091550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091550" w:rsidRDefault="00091550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091550" w:rsidRDefault="00091550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</w:pPr>
            <w:r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50" w:rsidRDefault="00091550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оценочного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091550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915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1550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Многоканальные системы передачи с ЧРК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ОПК-5, ОПК-6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915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ind w:firstLine="40"/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Цифровые системы передачи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ОПК-5, ОПК-6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50" w:rsidRDefault="00091550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091550" w:rsidRDefault="00091550">
      <w:pPr>
        <w:spacing w:after="0" w:line="240" w:lineRule="auto"/>
        <w:jc w:val="center"/>
      </w:pPr>
    </w:p>
    <w:p w:rsidR="00091550" w:rsidRDefault="00091550">
      <w:pPr>
        <w:spacing w:after="0" w:line="240" w:lineRule="auto"/>
        <w:jc w:val="center"/>
      </w:pPr>
    </w:p>
    <w:p w:rsidR="00091550" w:rsidRDefault="00091550">
      <w:pPr>
        <w:spacing w:after="0" w:line="240" w:lineRule="auto"/>
        <w:jc w:val="center"/>
      </w:pPr>
    </w:p>
    <w:p w:rsidR="00091550" w:rsidRDefault="00091550">
      <w:pPr>
        <w:spacing w:after="0" w:line="240" w:lineRule="auto"/>
        <w:jc w:val="center"/>
      </w:pPr>
    </w:p>
    <w:p w:rsidR="00091550" w:rsidRDefault="00091550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091550" w:rsidRDefault="0009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50" w:rsidRDefault="0009155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091550" w:rsidRDefault="0009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50" w:rsidRDefault="00091550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зачтено».</w:t>
      </w:r>
    </w:p>
    <w:p w:rsidR="00091550" w:rsidRDefault="00091550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091550" w:rsidRDefault="00091550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091550" w:rsidRDefault="00091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1550" w:rsidRDefault="00091550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091550" w:rsidRDefault="0009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50" w:rsidRDefault="00091550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091550" w:rsidRDefault="00EA04E0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091550">
        <w:rPr>
          <w:rStyle w:val="21"/>
          <w:b/>
          <w:color w:val="000000"/>
          <w:sz w:val="28"/>
          <w:szCs w:val="28"/>
        </w:rPr>
        <w:lastRenderedPageBreak/>
        <w:t>3.3 Экзамен</w:t>
      </w:r>
    </w:p>
    <w:p w:rsidR="00091550" w:rsidRDefault="00091550">
      <w:pPr>
        <w:spacing w:after="0" w:line="240" w:lineRule="auto"/>
        <w:jc w:val="center"/>
      </w:pPr>
    </w:p>
    <w:p w:rsidR="00091550" w:rsidRDefault="00091550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91550" w:rsidRDefault="00091550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091550" w:rsidRDefault="00091550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091550" w:rsidRDefault="00091550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091550" w:rsidRDefault="00091550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091550" w:rsidRDefault="0009155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091550" w:rsidRDefault="0009155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91550" w:rsidRDefault="0009155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91550" w:rsidRDefault="0009155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091550" w:rsidRDefault="0009155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91550" w:rsidRDefault="00EA04E0">
      <w:pPr>
        <w:pStyle w:val="70"/>
        <w:shd w:val="clear" w:color="auto" w:fill="auto"/>
        <w:spacing w:before="0" w:after="0" w:line="240" w:lineRule="auto"/>
        <w:ind w:firstLine="0"/>
        <w:jc w:val="center"/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br w:type="page"/>
      </w:r>
      <w:r w:rsidR="00091550">
        <w:rPr>
          <w:rStyle w:val="7"/>
          <w:rFonts w:ascii="Times New Roman" w:hAnsi="Times New Roman"/>
          <w:i w:val="0"/>
          <w:color w:val="000000"/>
          <w:sz w:val="28"/>
          <w:szCs w:val="28"/>
        </w:rPr>
        <w:lastRenderedPageBreak/>
        <w:t>4. Типовые контрольные задания или иные материалы</w:t>
      </w:r>
    </w:p>
    <w:p w:rsidR="00091550" w:rsidRDefault="00091550">
      <w:pPr>
        <w:pStyle w:val="70"/>
        <w:shd w:val="clear" w:color="auto" w:fill="auto"/>
        <w:spacing w:before="0" w:after="0" w:line="240" w:lineRule="auto"/>
        <w:ind w:firstLine="0"/>
        <w:jc w:val="center"/>
      </w:pPr>
    </w:p>
    <w:p w:rsidR="00091550" w:rsidRDefault="00091550">
      <w:pPr>
        <w:jc w:val="center"/>
      </w:pPr>
      <w:r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«Многоканальные телекоммуникационные системы»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Иерархия ЦСП.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Плезиохронная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синхронная цифровые системы.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МСП с ЧРК и ВРК,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Операции над исходными сигналами в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Плезиохронная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цифровая иерархия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каналообразование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проблемы.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Синхронная   цифровая иерархия.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Иерархия отечественных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Технология организации широкополочных каналов.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Способы и методы объединения цифровых потоков.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Структурная схема ЦСП с объединением цифровых потоков.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Понятие временных сдвигов, неоднородностей, согласования скоростей.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 объединения цифровых потоков.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Выделение и транзит цифровых потоков.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Построение цикла передачи ЦСП с временным группообразованием.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Структурная схема ЦСП. 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Генераторное оборудование. 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Устройства синхронизации.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Принципы организации каналов передачи сигналов управления и взаимодействия.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линейного тракта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Коды линейных цифровых каналов – код с ЧПИ, КВП, парно-избирательный троичный код, скремблирование.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Регенераторы цифровых сигналов.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Погрешности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хронирования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фазовые флуктуации в регенераторах.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Накопление помех в цифровом линейном тракте.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Расчет длины регенерационного участка цифрового линейного тракта.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Способы повышения эффективности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Оценка возможности совместной работы АСП и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Типовые ЦСП.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Субпервичная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ЦСП ИКМ-15.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Система передачи «Зона-16».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Система передачи ИКМ-30С.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Система передачи ИКМ-30.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Система передачи ИКМ-30-4.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Система передачи ИКМ-30-3.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Вторичная система передачи ИКМ-120.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Третичная система передачи ИКМ-480.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Типовые ЦСП. Четверичная система передачи ИКМ-1920.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Оптические цифровые системы передачи.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Структурная схема цифровой волоконно-оптической системы передачи.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Принципы построения волоконно-оптических систем передачи.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оценки выбора ЦСП. Стоимость проектирования ЦСП.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Сравнение систем на электрическом и оптическом кабеле.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Источники излучения и фотоприемники ВОСП.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Типы оптических волноводов и кабелей.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кодам волоконно-оптических систем передачи.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Аппаратура волоконно-оптических систем передачи.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Услуги глобальных сетей связи.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Инфраструктура глобальных сетей связи.</w:t>
      </w:r>
    </w:p>
    <w:p w:rsidR="00091550" w:rsidRDefault="00091550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организации сети интернет.</w:t>
      </w:r>
    </w:p>
    <w:p w:rsidR="00091550" w:rsidRDefault="00091550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  <w:lang w:val="x-none"/>
        </w:rPr>
      </w:pPr>
    </w:p>
    <w:sectPr w:rsidR="000915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0"/>
    <w:rsid w:val="00091550"/>
    <w:rsid w:val="0013367A"/>
    <w:rsid w:val="001C6D38"/>
    <w:rsid w:val="007B72B4"/>
    <w:rsid w:val="0085551A"/>
    <w:rsid w:val="009749EC"/>
    <w:rsid w:val="00B46452"/>
    <w:rsid w:val="00E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E3ED57"/>
  <w15:chartTrackingRefBased/>
  <w15:docId w15:val="{CB67B050-B4E5-4290-B56F-D6F6B6B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RCaC_514</cp:lastModifiedBy>
  <cp:revision>2</cp:revision>
  <cp:lastPrinted>1601-01-01T00:00:00Z</cp:lastPrinted>
  <dcterms:created xsi:type="dcterms:W3CDTF">2023-09-15T07:33:00Z</dcterms:created>
  <dcterms:modified xsi:type="dcterms:W3CDTF">2023-09-15T07:33:00Z</dcterms:modified>
</cp:coreProperties>
</file>