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21AA3A" w14:textId="77777777"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14:paraId="708C5BE4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53AE3E73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5E9EAF19" w14:textId="77777777"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14:paraId="08B02C73" w14:textId="77777777"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14:paraId="69A5ED80" w14:textId="77777777" w:rsidR="00AA7474" w:rsidRPr="00826784" w:rsidRDefault="00AA7474" w:rsidP="00AA7474">
      <w:pPr>
        <w:ind w:firstLine="0"/>
        <w:jc w:val="center"/>
      </w:pPr>
    </w:p>
    <w:p w14:paraId="1D952A68" w14:textId="77777777"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7E88A8A0" w14:textId="77777777"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5BBA01F4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09E9C2FD" w14:textId="77777777" w:rsidR="00AA7474" w:rsidRPr="00826784" w:rsidRDefault="00AA7474" w:rsidP="00AA7474">
      <w:pPr>
        <w:ind w:firstLine="0"/>
        <w:jc w:val="center"/>
      </w:pPr>
    </w:p>
    <w:p w14:paraId="67EA131D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19EC2A03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14146CD7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6EA02CF9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11EA477E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63C56A23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2785B7DA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4FEAF8B1" w14:textId="77777777"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0453779F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1120AFA9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2DFF8FE8" w14:textId="77777777" w:rsidR="00531E9C" w:rsidRPr="0018200D" w:rsidRDefault="00D44ED6" w:rsidP="00531E9C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6732EA">
        <w:rPr>
          <w:b/>
          <w:color w:val="000000"/>
          <w:lang w:eastAsia="en-US"/>
        </w:rPr>
        <w:t>«Бюджетирование и контроль»</w:t>
      </w:r>
    </w:p>
    <w:p w14:paraId="404082E2" w14:textId="77777777"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05E9FC82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7C88C9FC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26B9C2AF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3F6E6A0C" w14:textId="77777777"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14:paraId="09E72A3A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14:paraId="044B9AB6" w14:textId="77777777"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637AEEF6" w14:textId="77777777"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7E2E5211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520F5C4C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3254AED8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75C46922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0B02474C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7175F185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54BF5D06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4C6083A0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2DA65FCD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C80349">
        <w:rPr>
          <w:color w:val="000000"/>
        </w:rPr>
        <w:t>, очно-заочная</w:t>
      </w:r>
    </w:p>
    <w:p w14:paraId="62B60AAC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7CC44218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0289C37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0FDA973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E5A4E7C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981BD3F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5145E2D4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11BC569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2170F59C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58B1873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59D2A50C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14:paraId="01129C86" w14:textId="77777777"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20B6804" w14:textId="77777777"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AA24928" w14:textId="77777777"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14:paraId="4EDD5175" w14:textId="77777777"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14:paraId="1B8ACBC0" w14:textId="77777777" w:rsidR="00AA7474" w:rsidRPr="00826784" w:rsidRDefault="00AA7474" w:rsidP="00AA7474">
      <w:r w:rsidRPr="00826784">
        <w:t xml:space="preserve">Промежуточная аттестация проводится в форме </w:t>
      </w:r>
      <w:r w:rsidR="00D44ED6">
        <w:t>экзамена</w:t>
      </w:r>
      <w:r w:rsidRPr="00826784">
        <w:t xml:space="preserve">. Форма проведения </w:t>
      </w:r>
      <w:r w:rsidR="00D44ED6">
        <w:t>экзамена</w:t>
      </w:r>
      <w:r w:rsidRPr="00826784">
        <w:t xml:space="preserve"> - тестирование, письменный опрос по теоретическим вопросам и выполнение практического задания.</w:t>
      </w:r>
    </w:p>
    <w:p w14:paraId="36B73AD9" w14:textId="77777777" w:rsidR="00AA7474" w:rsidRPr="00826784" w:rsidRDefault="00AA7474" w:rsidP="00AA7474"/>
    <w:p w14:paraId="2E597638" w14:textId="77777777"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14:paraId="3918FE96" w14:textId="77777777"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0EEB9BD5" w14:textId="77777777"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14:paraId="7FC5FDF6" w14:textId="77777777"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69ACC06C" w14:textId="77777777"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235EEB65" w14:textId="77777777"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0B793459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43D9E5B7" w14:textId="77777777" w:rsidR="00AA7474" w:rsidRPr="00826784" w:rsidRDefault="00AA7474" w:rsidP="00AA7474">
      <w:pPr>
        <w:rPr>
          <w:i/>
          <w:sz w:val="22"/>
          <w:szCs w:val="22"/>
        </w:rPr>
      </w:pPr>
    </w:p>
    <w:p w14:paraId="194E7DD7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14:paraId="733E6B35" w14:textId="77777777"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5F4EE7BF" w14:textId="77777777" w:rsidTr="00407197">
        <w:tc>
          <w:tcPr>
            <w:tcW w:w="3034" w:type="dxa"/>
            <w:vAlign w:val="center"/>
          </w:tcPr>
          <w:p w14:paraId="3CA3C2B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172E1D7" w14:textId="77777777"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44C3778D" w14:textId="77777777" w:rsidTr="00407197">
        <w:tc>
          <w:tcPr>
            <w:tcW w:w="3034" w:type="dxa"/>
          </w:tcPr>
          <w:p w14:paraId="711D60ED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0F1C5C70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4E12DD5F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14:paraId="4462195C" w14:textId="77777777" w:rsidTr="00407197">
        <w:tc>
          <w:tcPr>
            <w:tcW w:w="3034" w:type="dxa"/>
          </w:tcPr>
          <w:p w14:paraId="19CE479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199D773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48F399DA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14:paraId="4EDDB3BA" w14:textId="77777777" w:rsidTr="00407197">
        <w:tc>
          <w:tcPr>
            <w:tcW w:w="3034" w:type="dxa"/>
          </w:tcPr>
          <w:p w14:paraId="0273BE1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2D50E9ED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42AF3F5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14:paraId="027C3117" w14:textId="77777777" w:rsidTr="00407197">
        <w:tc>
          <w:tcPr>
            <w:tcW w:w="3034" w:type="dxa"/>
          </w:tcPr>
          <w:p w14:paraId="2A44C97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2BF21E2B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7173EE2F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14:paraId="07856F13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14:paraId="2502E8F9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1CDA7A87" w14:textId="77777777" w:rsidTr="00407197">
        <w:trPr>
          <w:trHeight w:val="407"/>
        </w:trPr>
        <w:tc>
          <w:tcPr>
            <w:tcW w:w="3034" w:type="dxa"/>
            <w:vAlign w:val="center"/>
          </w:tcPr>
          <w:p w14:paraId="7BB04D5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5947F0A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0E12BCE4" w14:textId="77777777" w:rsidTr="00407197">
        <w:tc>
          <w:tcPr>
            <w:tcW w:w="3034" w:type="dxa"/>
          </w:tcPr>
          <w:p w14:paraId="049B42F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5365DBB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5AB0CB2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14:paraId="601DADA6" w14:textId="77777777" w:rsidTr="00407197">
        <w:tc>
          <w:tcPr>
            <w:tcW w:w="3034" w:type="dxa"/>
          </w:tcPr>
          <w:p w14:paraId="7FE54174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190CFC0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22E2A68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14:paraId="171CB3F4" w14:textId="77777777" w:rsidTr="00407197">
        <w:tc>
          <w:tcPr>
            <w:tcW w:w="3034" w:type="dxa"/>
          </w:tcPr>
          <w:p w14:paraId="6D9B994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0554798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4C650F6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14:paraId="22710387" w14:textId="77777777" w:rsidTr="00407197">
        <w:tc>
          <w:tcPr>
            <w:tcW w:w="3034" w:type="dxa"/>
          </w:tcPr>
          <w:p w14:paraId="43304F2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2F59C897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64A10E22" w14:textId="77777777" w:rsidR="00AA7474" w:rsidRPr="00826784" w:rsidRDefault="00AA7474" w:rsidP="00AA7474"/>
    <w:p w14:paraId="11A8221E" w14:textId="77777777" w:rsidR="00AA7474" w:rsidRPr="00826784" w:rsidRDefault="00AA7474" w:rsidP="00AA7474"/>
    <w:p w14:paraId="7A31A4B9" w14:textId="77777777" w:rsidR="00AA7474" w:rsidRPr="00826784" w:rsidRDefault="00AA7474" w:rsidP="00AA7474">
      <w:pPr>
        <w:rPr>
          <w:b/>
        </w:rPr>
      </w:pPr>
    </w:p>
    <w:p w14:paraId="5D894684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14:paraId="766312C9" w14:textId="77777777"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16B66A6B" w14:textId="77777777" w:rsidTr="00407197">
        <w:tc>
          <w:tcPr>
            <w:tcW w:w="3034" w:type="dxa"/>
            <w:vAlign w:val="center"/>
          </w:tcPr>
          <w:p w14:paraId="51D4AB3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6BA5E09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55AFA8CB" w14:textId="77777777" w:rsidTr="00407197">
        <w:tc>
          <w:tcPr>
            <w:tcW w:w="3034" w:type="dxa"/>
          </w:tcPr>
          <w:p w14:paraId="6F1D5AF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5437BC9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794B37FC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14:paraId="73106ABC" w14:textId="77777777" w:rsidTr="00407197">
        <w:tc>
          <w:tcPr>
            <w:tcW w:w="3034" w:type="dxa"/>
          </w:tcPr>
          <w:p w14:paraId="4EEB637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37539F6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1E16FDB9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14:paraId="4D567C26" w14:textId="77777777" w:rsidTr="00407197">
        <w:tc>
          <w:tcPr>
            <w:tcW w:w="3034" w:type="dxa"/>
          </w:tcPr>
          <w:p w14:paraId="57DBA7E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20C541A1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4A7388DE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14:paraId="5FD3480F" w14:textId="77777777" w:rsidTr="00407197">
        <w:tc>
          <w:tcPr>
            <w:tcW w:w="3034" w:type="dxa"/>
          </w:tcPr>
          <w:p w14:paraId="09E58CE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465C591B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14:paraId="47804CD4" w14:textId="77777777" w:rsidR="00AA7474" w:rsidRDefault="00AA7474" w:rsidP="00AA7474"/>
    <w:p w14:paraId="201031A4" w14:textId="77777777"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теоретически</w:t>
      </w:r>
      <w:r w:rsidR="00531E9C">
        <w:rPr>
          <w:rStyle w:val="af3"/>
          <w:rFonts w:eastAsia="Calibri"/>
          <w:i w:val="0"/>
          <w:sz w:val="22"/>
          <w:szCs w:val="22"/>
          <w:lang w:eastAsia="en-US"/>
        </w:rPr>
        <w:t>й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 вопрос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 w:rsidR="00531E9C"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284D2524" w14:textId="77777777" w:rsidR="00AA7474" w:rsidRPr="00826784" w:rsidRDefault="00AA7474" w:rsidP="00AA7474"/>
    <w:p w14:paraId="32969146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 w:rsidR="00531E9C"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554FF0F0" w14:textId="77777777"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 w:rsidR="00531E9C">
        <w:t>6</w:t>
      </w:r>
      <w:r w:rsidRPr="00826784">
        <w:t xml:space="preserve"> до </w:t>
      </w:r>
      <w:r w:rsidR="00531E9C"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76DAFE1A" w14:textId="77777777"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 w:rsidR="00531E9C">
        <w:t>3</w:t>
      </w:r>
      <w:r w:rsidRPr="00826784">
        <w:t xml:space="preserve"> до </w:t>
      </w:r>
      <w:r w:rsidR="00531E9C">
        <w:t>5</w:t>
      </w:r>
      <w:r w:rsidRPr="00826784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4A532042" w14:textId="77777777"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 w:rsidR="00531E9C"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14:paraId="720964B5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960B2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14:paraId="7EAF910F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1"/>
        <w:gridCol w:w="2420"/>
        <w:gridCol w:w="2254"/>
      </w:tblGrid>
      <w:tr w:rsidR="00AA7474" w:rsidRPr="00C04E30" w14:paraId="6ED578D8" w14:textId="77777777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5CEB27" w14:textId="77777777" w:rsidR="00AA7474" w:rsidRPr="00C04E30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B61700" w14:textId="77777777" w:rsidR="00AA7474" w:rsidRPr="00C04E30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9D410E" w14:textId="77777777" w:rsidR="00AA7474" w:rsidRPr="00C04E30" w:rsidRDefault="00AA7474" w:rsidP="00407197">
            <w:pPr>
              <w:ind w:firstLine="0"/>
              <w:jc w:val="center"/>
            </w:pPr>
            <w:r w:rsidRPr="00C04E30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C04E30" w14:paraId="18C0E052" w14:textId="77777777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89F09B" w14:textId="77777777" w:rsidR="00AA7474" w:rsidRPr="00C04E30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E020C8" w14:textId="77777777" w:rsidR="00AA7474" w:rsidRPr="00C04E30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567485" w14:textId="77777777" w:rsidR="00AA7474" w:rsidRPr="00C04E30" w:rsidRDefault="00AA7474" w:rsidP="00407197">
            <w:pPr>
              <w:snapToGrid w:val="0"/>
              <w:rPr>
                <w:b/>
              </w:rPr>
            </w:pPr>
          </w:p>
        </w:tc>
      </w:tr>
      <w:tr w:rsidR="00D44ED6" w:rsidRPr="00C04E30" w14:paraId="3694470E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6A60A3" w14:textId="77777777" w:rsidR="00D44ED6" w:rsidRPr="00C04E30" w:rsidRDefault="00D44ED6" w:rsidP="00D44ED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1. Основы бухгалтерского финансового учета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0A258F" w14:textId="77777777" w:rsidR="00D44ED6" w:rsidRPr="00C04E30" w:rsidRDefault="00C80349" w:rsidP="00C8034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="00CC2606" w:rsidRPr="00C04E30">
              <w:rPr>
                <w:rFonts w:eastAsia="Arial Unicode MS"/>
                <w:color w:val="000000"/>
              </w:rPr>
              <w:t xml:space="preserve">, </w:t>
            </w:r>
            <w:r w:rsidR="00D44ED6" w:rsidRPr="00C04E30">
              <w:rPr>
                <w:rFonts w:eastAsia="Arial Unicode MS"/>
                <w:color w:val="000000"/>
              </w:rPr>
              <w:t>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4F9859" w14:textId="77777777" w:rsidR="00D44ED6" w:rsidRPr="00C04E30" w:rsidRDefault="00CC2606" w:rsidP="00D44ED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2F361578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76AAD1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 xml:space="preserve">Тема 2. Организация управленческого учета 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83FFBF" w14:textId="77777777"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F72AEA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4333BFBB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E27ADA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3. Бухгалтерская финансовая и управленческая отчетность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8FEA5E" w14:textId="77777777"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1EE494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022CFFFA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4F4B17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4. Основы международных стандартов финансовой отчетности (МСФО)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008940" w14:textId="77777777"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9E1233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2D4A3469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64DE4F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5. Автоматизация учетного процесса организаций.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B130EE" w14:textId="77777777"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ED5BA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</w:tbl>
    <w:p w14:paraId="12C97318" w14:textId="77777777"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14:paraId="5551161E" w14:textId="77777777"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14:paraId="22CA51CB" w14:textId="77777777"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14:paraId="46B0AADE" w14:textId="77777777"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14:paraId="0297E37D" w14:textId="77777777"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14:paraId="17FEE7E9" w14:textId="77777777"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14:paraId="2913A3A6" w14:textId="77777777"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14:paraId="7179E527" w14:textId="77777777" w:rsidR="00AA7474" w:rsidRPr="00182CFA" w:rsidRDefault="00AA7474" w:rsidP="00AA7474">
      <w:pPr>
        <w:pStyle w:val="Style23"/>
        <w:ind w:firstLine="709"/>
        <w:rPr>
          <w:rStyle w:val="FontStyle134"/>
          <w:sz w:val="24"/>
          <w:szCs w:val="24"/>
        </w:rPr>
      </w:pPr>
      <w:r w:rsidRPr="00182CFA">
        <w:rPr>
          <w:rStyle w:val="FontStyle134"/>
          <w:sz w:val="24"/>
          <w:szCs w:val="24"/>
        </w:rPr>
        <w:t>4.1.  Промежуточная аттестация в форме экзамена</w:t>
      </w:r>
    </w:p>
    <w:p w14:paraId="6C58FECE" w14:textId="77777777" w:rsidR="00AA7474" w:rsidRDefault="00AA7474" w:rsidP="00AA7474">
      <w:pPr>
        <w:pStyle w:val="Style23"/>
        <w:ind w:firstLine="709"/>
      </w:pPr>
    </w:p>
    <w:p w14:paraId="2D340592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14:paraId="3FC678B2" w14:textId="77777777"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14:paraId="3C112985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экономического анализа хозяйственной деятельности представляет собой:</w:t>
      </w:r>
    </w:p>
    <w:p w14:paraId="79729985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совокупность приемов оценки результатов финансово-хозяйственной деятельности предприятия;</w:t>
      </w:r>
    </w:p>
    <w:p w14:paraId="3C788B1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система аналитических показателей, характеризующих финансово-хозяйственную деятельность предприятий и организаций;</w:t>
      </w:r>
    </w:p>
    <w:p w14:paraId="777CA9EC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диалектический способ подхода к изучению хозяйственных процессов в их становлении и развитии;</w:t>
      </w:r>
    </w:p>
    <w:p w14:paraId="048FC843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диалектический способ оценки выявленных результатов финансово-хозяйственной деятельности.</w:t>
      </w:r>
    </w:p>
    <w:p w14:paraId="1B0259D4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443CE94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Традиционные приемы экономического анализа включают в себя:</w:t>
      </w:r>
    </w:p>
    <w:p w14:paraId="6FCE9C7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метод оценки влияния факторов, корреляционный анализ и сетевые графики;</w:t>
      </w:r>
    </w:p>
    <w:p w14:paraId="6455603D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метод цепных подстановок, абсолютных и относительных разниц;</w:t>
      </w:r>
    </w:p>
    <w:p w14:paraId="3A59EA4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балансовый метод, метод математического программирования;</w:t>
      </w:r>
    </w:p>
    <w:p w14:paraId="267DE277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4665B0F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абсолютных разниц предполагает:</w:t>
      </w:r>
    </w:p>
    <w:p w14:paraId="4641F2D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определение влияния качественных и количественных факторов на обобщающий показатель путем произведения их отклонений соответственно на факт количественного и базу качественного показателя;</w:t>
      </w:r>
    </w:p>
    <w:p w14:paraId="6B0E853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расчет абсолютных отклонений финансовых показателей;</w:t>
      </w:r>
    </w:p>
    <w:p w14:paraId="271957A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оценку влияния качественных факторов на показатели финансово-хозяйственной деятельности;</w:t>
      </w:r>
    </w:p>
    <w:p w14:paraId="1244CFB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оценку влияния количественных факторов на показатели финансово-хозяйственной деятельности.</w:t>
      </w:r>
    </w:p>
    <w:p w14:paraId="74E1EA89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19EF6D0D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цепных подстановок основан на:</w:t>
      </w:r>
    </w:p>
    <w:p w14:paraId="11375920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использовании системы цепных индексов и рядов динамики;</w:t>
      </w:r>
    </w:p>
    <w:p w14:paraId="1362EC75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последовательной замене базовых значений факторов на их фактическое значение и расчете обобщающих показателей путем вычитания из последующего предыдущий;</w:t>
      </w:r>
    </w:p>
    <w:p w14:paraId="5515F11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обобщении результатов факторного анализа;</w:t>
      </w:r>
    </w:p>
    <w:p w14:paraId="45CEB5C1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последовательной системе расчета показателей и их сравнения с прошлогодними значениями.</w:t>
      </w:r>
    </w:p>
    <w:p w14:paraId="261F8202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21CB58D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Пассивы организации включают в себя:</w:t>
      </w:r>
    </w:p>
    <w:p w14:paraId="111C59AC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источники собственных средств (уставный капитал, прибыль, </w:t>
      </w:r>
      <w:proofErr w:type="spellStart"/>
      <w:r w:rsidRPr="00C04E30">
        <w:rPr>
          <w:i w:val="0"/>
          <w:szCs w:val="24"/>
        </w:rPr>
        <w:t>спе¬циальные</w:t>
      </w:r>
      <w:proofErr w:type="spellEnd"/>
      <w:r w:rsidRPr="00C04E30">
        <w:rPr>
          <w:i w:val="0"/>
          <w:szCs w:val="24"/>
        </w:rPr>
        <w:t xml:space="preserve"> фонды</w:t>
      </w:r>
    </w:p>
    <w:p w14:paraId="07A8D0FD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источники привлеченных средств.</w:t>
      </w:r>
    </w:p>
    <w:p w14:paraId="7266218B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капитал и обязательства перед кредиторами.</w:t>
      </w:r>
    </w:p>
    <w:p w14:paraId="5321D512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53F7EBE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Предмет бухгалтерского учета – это:</w:t>
      </w:r>
    </w:p>
    <w:p w14:paraId="6920F67F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имущество организации, ее обязательства и кругооборот </w:t>
      </w:r>
      <w:proofErr w:type="spellStart"/>
      <w:r w:rsidRPr="00C04E30">
        <w:rPr>
          <w:i w:val="0"/>
          <w:szCs w:val="24"/>
        </w:rPr>
        <w:t>имущест¬ва</w:t>
      </w:r>
      <w:proofErr w:type="spellEnd"/>
      <w:r w:rsidRPr="00C04E30">
        <w:rPr>
          <w:i w:val="0"/>
          <w:szCs w:val="24"/>
        </w:rPr>
        <w:t xml:space="preserve"> на различных его стадиях</w:t>
      </w:r>
    </w:p>
    <w:p w14:paraId="309D4539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хозяйственные средства организации и хозяйственные операции</w:t>
      </w:r>
    </w:p>
    <w:p w14:paraId="1C75627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хозяйственная деятельность предприятия</w:t>
      </w:r>
    </w:p>
    <w:p w14:paraId="5E4E4E82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7D26B9AC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остав оборотных активов организации:</w:t>
      </w:r>
    </w:p>
    <w:p w14:paraId="51AE03A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основные средства, доходные вложения в материальные ценности, вложения во внеоборотные активы, нематериальные активы и </w:t>
      </w:r>
      <w:proofErr w:type="spellStart"/>
      <w:r w:rsidRPr="00C04E30">
        <w:rPr>
          <w:i w:val="0"/>
          <w:szCs w:val="24"/>
        </w:rPr>
        <w:t>долгосроч¬ные</w:t>
      </w:r>
      <w:proofErr w:type="spellEnd"/>
      <w:r w:rsidRPr="00C04E30">
        <w:rPr>
          <w:i w:val="0"/>
          <w:szCs w:val="24"/>
        </w:rPr>
        <w:t xml:space="preserve"> финансовые вложения.</w:t>
      </w:r>
    </w:p>
    <w:p w14:paraId="1BCE12F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товарно-производственные запасы, дебиторская задолженность,</w:t>
      </w:r>
    </w:p>
    <w:p w14:paraId="4BBAD258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краткосрочные финансовые вложения, денежные средства.</w:t>
      </w:r>
    </w:p>
    <w:p w14:paraId="5924456C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товарно-производственные запасы, кредиторская задолженность,</w:t>
      </w:r>
    </w:p>
    <w:p w14:paraId="5F8816B3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краткосрочные финансовые вложения, денежные средства.</w:t>
      </w:r>
    </w:p>
    <w:p w14:paraId="02DBC266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43BD6FB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остав собственного капитала организации:</w:t>
      </w:r>
    </w:p>
    <w:p w14:paraId="55737CD9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уставный капитал, добавочный капитал, нераспределенная </w:t>
      </w:r>
      <w:proofErr w:type="spellStart"/>
      <w:r w:rsidRPr="00C04E30">
        <w:rPr>
          <w:i w:val="0"/>
          <w:szCs w:val="24"/>
        </w:rPr>
        <w:t>при¬быль</w:t>
      </w:r>
      <w:proofErr w:type="spellEnd"/>
      <w:r w:rsidRPr="00C04E30">
        <w:rPr>
          <w:i w:val="0"/>
          <w:szCs w:val="24"/>
        </w:rPr>
        <w:t>, резервный капитал, целевое финансирование, кредиты и займы.</w:t>
      </w:r>
    </w:p>
    <w:p w14:paraId="4A89789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кредиты, займы и текущая кредиторская задолженность.</w:t>
      </w:r>
    </w:p>
    <w:p w14:paraId="16E4C21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в) уставный капитал, добавочный капитал, нераспределенная </w:t>
      </w:r>
      <w:proofErr w:type="spellStart"/>
      <w:r w:rsidRPr="00C04E30">
        <w:rPr>
          <w:i w:val="0"/>
          <w:szCs w:val="24"/>
        </w:rPr>
        <w:t>при¬быль</w:t>
      </w:r>
      <w:proofErr w:type="spellEnd"/>
      <w:r w:rsidRPr="00C04E30">
        <w:rPr>
          <w:i w:val="0"/>
          <w:szCs w:val="24"/>
        </w:rPr>
        <w:t>, резервный капитал, целевое финансирование, чистая прибыль.</w:t>
      </w:r>
    </w:p>
    <w:p w14:paraId="60F73995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0768F6AE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труктуру бухгалтерского баланса:</w:t>
      </w:r>
    </w:p>
    <w:p w14:paraId="60CC13C0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три раздела в активе и три в пассиве баланса.</w:t>
      </w:r>
    </w:p>
    <w:p w14:paraId="101EA2D7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два раздела в активе и три в пассиве баланса.</w:t>
      </w:r>
    </w:p>
    <w:p w14:paraId="0259CFC7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три раздела в активе и два в пассиве баланса.</w:t>
      </w:r>
    </w:p>
    <w:p w14:paraId="4A84A536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5DC2F0FE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В чем суть бюджетирования как финансового инструмента? </w:t>
      </w:r>
    </w:p>
    <w:p w14:paraId="1AA43218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В контроле основных расходов </w:t>
      </w:r>
    </w:p>
    <w:p w14:paraId="282272D3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В контроле основных доходов </w:t>
      </w:r>
    </w:p>
    <w:p w14:paraId="4C9BD3A8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</w:t>
      </w:r>
      <w:proofErr w:type="spellStart"/>
      <w:r w:rsidRPr="00642F28">
        <w:rPr>
          <w:i w:val="0"/>
        </w:rPr>
        <w:t>В</w:t>
      </w:r>
      <w:proofErr w:type="spellEnd"/>
      <w:r w:rsidRPr="00642F28">
        <w:rPr>
          <w:i w:val="0"/>
        </w:rPr>
        <w:t xml:space="preserve"> контроле над всей экономической деятельностью предприятия </w:t>
      </w:r>
    </w:p>
    <w:p w14:paraId="1113A70E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39FC8174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Что позволяет изменить грамотно построенная система бюджетирования? </w:t>
      </w:r>
    </w:p>
    <w:p w14:paraId="26FF0FEA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Финансовую тактику предприятия </w:t>
      </w:r>
    </w:p>
    <w:p w14:paraId="22125682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Финансовую стратегию предприятия </w:t>
      </w:r>
    </w:p>
    <w:p w14:paraId="348D6C2E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Финансово-экономические показатели деятельности предприятия </w:t>
      </w:r>
    </w:p>
    <w:p w14:paraId="307BE7F8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1C7EE4F8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Финансовое планирование это: </w:t>
      </w:r>
    </w:p>
    <w:p w14:paraId="4B22C9B2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представляет собой деятельность по предвидению и стратегической оценке перспектив развития финансов, объема, состава и структуры поступления финансовых ресурсов и направлений их использования. </w:t>
      </w:r>
    </w:p>
    <w:p w14:paraId="10A09612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планирование всех доходов и направлений расходования денежных средств предприятия для обеспечения его развития. </w:t>
      </w:r>
    </w:p>
    <w:p w14:paraId="7BA9F34C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регулирование государственного бюджета, его дефицита или профицита, а также государственного долга. </w:t>
      </w:r>
    </w:p>
    <w:p w14:paraId="41E7A4BE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6EA7E9DB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Основные задачи финансового планирования? </w:t>
      </w:r>
    </w:p>
    <w:p w14:paraId="3AC378C9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выявление резервов и мобилизация ресурсов в целях эффективного использования прибыли и других доходов </w:t>
      </w:r>
    </w:p>
    <w:p w14:paraId="77FD852B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обеспечение текущей финансовой устойчивости и целевой рентабельности на основе построенной системы показателей эффективности. </w:t>
      </w:r>
    </w:p>
    <w:p w14:paraId="53EAADC5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 xml:space="preserve">В </w:t>
      </w:r>
      <w:r w:rsidRPr="00642F28">
        <w:rPr>
          <w:i w:val="0"/>
        </w:rPr>
        <w:t xml:space="preserve">контроль за финансовым состоянием, </w:t>
      </w:r>
      <w:proofErr w:type="spellStart"/>
      <w:r w:rsidRPr="00642F28">
        <w:rPr>
          <w:i w:val="0"/>
        </w:rPr>
        <w:t>платѐжеспособностью</w:t>
      </w:r>
      <w:proofErr w:type="spellEnd"/>
      <w:r w:rsidRPr="00642F28">
        <w:rPr>
          <w:i w:val="0"/>
        </w:rPr>
        <w:t xml:space="preserve"> и кредитоспособностью предприятия. </w:t>
      </w:r>
    </w:p>
    <w:p w14:paraId="6D192ED0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7A25D001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Как можно осуществить бюджетный контроль? </w:t>
      </w:r>
    </w:p>
    <w:p w14:paraId="17A9ACAE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Сравнивая фактические показатели с запланированными </w:t>
      </w:r>
    </w:p>
    <w:p w14:paraId="63523B7E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Минимизируя уровень финансового риска </w:t>
      </w:r>
    </w:p>
    <w:p w14:paraId="64C13806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Устраняя неэффективные участки деятельности предприятия </w:t>
      </w:r>
    </w:p>
    <w:p w14:paraId="638F238E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0553F593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Что предусматривает второй этап финансового планирования? </w:t>
      </w:r>
    </w:p>
    <w:p w14:paraId="0100CCF7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уточняются и конкретизируются показатели прогнозных финансовых документов посредством составления текущих финансовых планов. </w:t>
      </w:r>
    </w:p>
    <w:p w14:paraId="16C3DAED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анализируются финансовые показатели за предыдущий период </w:t>
      </w:r>
    </w:p>
    <w:p w14:paraId="72B27C9B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составление основных прогнозных документов, таких как прогноз баланса, </w:t>
      </w:r>
      <w:proofErr w:type="spellStart"/>
      <w:r w:rsidRPr="00642F28">
        <w:rPr>
          <w:i w:val="0"/>
        </w:rPr>
        <w:t>отчѐта</w:t>
      </w:r>
      <w:proofErr w:type="spellEnd"/>
      <w:r w:rsidRPr="00642F28">
        <w:rPr>
          <w:i w:val="0"/>
        </w:rPr>
        <w:t xml:space="preserve"> о прибылях и убытках, движения денежных средств (движение наличности), которые относятся к перспективным финансовым планам </w:t>
      </w:r>
    </w:p>
    <w:p w14:paraId="446328BA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2B1E44B5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Центр доходов хозяйствующего субъекта – это: </w:t>
      </w:r>
    </w:p>
    <w:p w14:paraId="433EA520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подразделение хозяйствующего субъекта, являющееся малорентабельным или вообще некоммерческим, но играющее важную роль, в общем, производственно-торговом процессе. </w:t>
      </w:r>
    </w:p>
    <w:p w14:paraId="5551A081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подразделение, которое приносит ему максимальную прибыль </w:t>
      </w:r>
    </w:p>
    <w:p w14:paraId="37875393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нет правильного ответа </w:t>
      </w:r>
    </w:p>
    <w:p w14:paraId="5D9DF8A8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10591F19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Конкретные способы и </w:t>
      </w:r>
      <w:proofErr w:type="spellStart"/>
      <w:r w:rsidRPr="00642F28">
        <w:rPr>
          <w:i w:val="0"/>
        </w:rPr>
        <w:t>приѐмы</w:t>
      </w:r>
      <w:proofErr w:type="spellEnd"/>
      <w:r w:rsidRPr="00642F28">
        <w:rPr>
          <w:i w:val="0"/>
        </w:rPr>
        <w:t xml:space="preserve"> </w:t>
      </w:r>
      <w:proofErr w:type="spellStart"/>
      <w:r w:rsidRPr="00642F28">
        <w:rPr>
          <w:i w:val="0"/>
        </w:rPr>
        <w:t>расчѐтов</w:t>
      </w:r>
      <w:proofErr w:type="spellEnd"/>
      <w:r w:rsidRPr="00642F28">
        <w:rPr>
          <w:i w:val="0"/>
        </w:rPr>
        <w:t xml:space="preserve"> показателей это </w:t>
      </w:r>
    </w:p>
    <w:p w14:paraId="460AC24C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методы планирования </w:t>
      </w:r>
    </w:p>
    <w:p w14:paraId="25CCAAA3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методы контроля </w:t>
      </w:r>
    </w:p>
    <w:p w14:paraId="37BAFE91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методы регулирования </w:t>
      </w:r>
    </w:p>
    <w:p w14:paraId="1BC4C1DE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664E162C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При планировании финансовых показателей могут применяться следующие методы: </w:t>
      </w:r>
    </w:p>
    <w:p w14:paraId="5CB57C7C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прогнозный </w:t>
      </w:r>
    </w:p>
    <w:p w14:paraId="39758D78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балансовый </w:t>
      </w:r>
    </w:p>
    <w:p w14:paraId="6DC10810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</w:t>
      </w:r>
      <w:proofErr w:type="spellStart"/>
      <w:r w:rsidRPr="00642F28">
        <w:rPr>
          <w:i w:val="0"/>
        </w:rPr>
        <w:t>расчѐтно</w:t>
      </w:r>
      <w:proofErr w:type="spellEnd"/>
      <w:r w:rsidRPr="00642F28">
        <w:rPr>
          <w:i w:val="0"/>
        </w:rPr>
        <w:t xml:space="preserve">-аналитический </w:t>
      </w:r>
    </w:p>
    <w:p w14:paraId="215F34FE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5C80AC65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Сущность нормативного метода планирования финансовых показателей заключается в том, что </w:t>
      </w:r>
    </w:p>
    <w:p w14:paraId="4F627A67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что на основе анализа достигнутой величины финансового показателя, принимаемого за базу, и индексов его изменения в плановом периоде рассчитывается плановая величина этого показателя. </w:t>
      </w:r>
    </w:p>
    <w:p w14:paraId="0FFEA7D9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на основе заранее установленных норм и технико-экономических нормативов рассчитывается потребность хозяйствующего субъекта в финансовых ресурсах и в их источниках </w:t>
      </w:r>
    </w:p>
    <w:p w14:paraId="3779EEEC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проводится разработка нескольких вариантов плановых расчетов, с целью выбора наиболее оптимального </w:t>
      </w:r>
    </w:p>
    <w:p w14:paraId="5BCFAB53" w14:textId="77777777" w:rsidR="00182CFA" w:rsidRDefault="00182CFA" w:rsidP="00182CFA">
      <w:pPr>
        <w:pStyle w:val="a4"/>
        <w:spacing w:line="200" w:lineRule="atLeast"/>
        <w:rPr>
          <w:i w:val="0"/>
        </w:rPr>
      </w:pPr>
    </w:p>
    <w:p w14:paraId="48EC75F4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Критерии выбора оптимального решения: </w:t>
      </w:r>
    </w:p>
    <w:p w14:paraId="3275F393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минимум времени на оборот капитала </w:t>
      </w:r>
    </w:p>
    <w:p w14:paraId="720E1163" w14:textId="77777777"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максимум затрат </w:t>
      </w:r>
    </w:p>
    <w:p w14:paraId="20BDEBA4" w14:textId="77777777" w:rsidR="00182CFA" w:rsidRDefault="00182CFA" w:rsidP="00182CFA">
      <w:pPr>
        <w:pStyle w:val="a4"/>
        <w:spacing w:line="200" w:lineRule="atLeast"/>
        <w:rPr>
          <w:i w:val="0"/>
          <w:szCs w:val="24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>В максимум прибыли</w:t>
      </w:r>
    </w:p>
    <w:p w14:paraId="3105C2FA" w14:textId="77777777" w:rsidR="00182CFA" w:rsidRDefault="00182CFA" w:rsidP="00C04E30">
      <w:pPr>
        <w:pStyle w:val="a4"/>
        <w:spacing w:line="200" w:lineRule="atLeast"/>
        <w:rPr>
          <w:i w:val="0"/>
          <w:szCs w:val="24"/>
        </w:rPr>
      </w:pPr>
    </w:p>
    <w:p w14:paraId="4515C6D7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14:paraId="6F79EDA9" w14:textId="77777777" w:rsidR="00AA7474" w:rsidRPr="00826784" w:rsidRDefault="00AA7474" w:rsidP="00AA7474">
      <w:pPr>
        <w:rPr>
          <w:b/>
          <w:i/>
        </w:rPr>
      </w:pPr>
    </w:p>
    <w:p w14:paraId="339F5824" w14:textId="77777777" w:rsidR="00C04E30" w:rsidRDefault="003653E6" w:rsidP="00C04E30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C04E30">
        <w:rPr>
          <w:b/>
          <w:i/>
        </w:rPr>
        <w:t>1</w:t>
      </w:r>
    </w:p>
    <w:p w14:paraId="03053EB7" w14:textId="77777777" w:rsidR="00C04E30" w:rsidRPr="00C04E30" w:rsidRDefault="00C04E30" w:rsidP="00C04E30">
      <w:pPr>
        <w:rPr>
          <w:rStyle w:val="-"/>
          <w:b/>
          <w:i/>
        </w:rPr>
      </w:pPr>
      <w:r w:rsidRPr="00C80AD8">
        <w:rPr>
          <w:rStyle w:val="-"/>
        </w:rPr>
        <w:t>Ведение учета расчетов с подотчетными лицами</w:t>
      </w:r>
    </w:p>
    <w:p w14:paraId="7B439997" w14:textId="77777777" w:rsidR="00C04E30" w:rsidRPr="00C80AD8" w:rsidRDefault="00C04E30" w:rsidP="00C04E30">
      <w:r w:rsidRPr="00C80AD8">
        <w:t>На начало месяца подотчетное лицо Петров А.М. имеет задолженность предприятию 500 р. (дебиторская задолженность). В течение месяца отражены следующие хозяйственные операции, связанные с подотчетными лицами (табл. 1).</w:t>
      </w:r>
    </w:p>
    <w:p w14:paraId="6B682F04" w14:textId="77777777" w:rsidR="00C04E30" w:rsidRPr="00C80AD8" w:rsidRDefault="00C04E30" w:rsidP="00C04E30">
      <w:r w:rsidRPr="00C80AD8">
        <w:t>Таблица 1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35"/>
        <w:gridCol w:w="1452"/>
      </w:tblGrid>
      <w:tr w:rsidR="00C04E30" w:rsidRPr="00C80AD8" w14:paraId="243D6B24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6E09249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Содержание операции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58A84D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Сумма, р. </w:t>
            </w:r>
          </w:p>
        </w:tc>
      </w:tr>
      <w:tr w:rsidR="00C04E30" w:rsidRPr="00C80AD8" w14:paraId="065C04D7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343FD65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1. Выданы деньги на командировочные расходы руководителю предприятия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25D0A2C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4500 </w:t>
            </w:r>
          </w:p>
        </w:tc>
      </w:tr>
      <w:tr w:rsidR="00C04E30" w:rsidRPr="00C80AD8" w14:paraId="0CC0CE2C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3327131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lastRenderedPageBreak/>
              <w:t xml:space="preserve">2. Получены неиспользованные подотчетные деньги от Петрова А.М.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2D2A6A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500 </w:t>
            </w:r>
          </w:p>
        </w:tc>
      </w:tr>
      <w:tr w:rsidR="00C04E30" w:rsidRPr="00C80AD8" w14:paraId="635548F5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BB22129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3. Выданы деньги на покупку расходных материалов для принтера Смирнову Д.М.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BAEFE0E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300 </w:t>
            </w:r>
          </w:p>
        </w:tc>
      </w:tr>
      <w:tr w:rsidR="00C04E30" w:rsidRPr="00C80AD8" w14:paraId="24728BA0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DCD218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4. Предоставлен авансовый отчет о командировке руководителем предприятия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74BC90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4450 </w:t>
            </w:r>
          </w:p>
        </w:tc>
      </w:tr>
      <w:tr w:rsidR="00C04E30" w:rsidRPr="00C80AD8" w14:paraId="6FDFC871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9632C26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5. Предоставлен счет о покупке материалов Смирновым Д.М.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CA1A265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380 </w:t>
            </w:r>
          </w:p>
        </w:tc>
      </w:tr>
    </w:tbl>
    <w:p w14:paraId="77198963" w14:textId="77777777" w:rsidR="00C04E30" w:rsidRPr="00C80AD8" w:rsidRDefault="00C04E30" w:rsidP="00C04E30">
      <w:r w:rsidRPr="00C80AD8">
        <w:t>Оформить активно-пассивный счет 71 «Расчеты с подотчетными лицами», рассчитать обороты и сальдо.</w:t>
      </w:r>
    </w:p>
    <w:p w14:paraId="29B8A25D" w14:textId="77777777" w:rsidR="00C04E30" w:rsidRDefault="00C04E30" w:rsidP="00C04E30">
      <w:pPr>
        <w:rPr>
          <w:b/>
          <w:i/>
        </w:rPr>
      </w:pPr>
    </w:p>
    <w:p w14:paraId="2B3985F4" w14:textId="77777777" w:rsidR="00C04E30" w:rsidRDefault="00C04E30" w:rsidP="00C04E30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14:paraId="58D4B602" w14:textId="77777777" w:rsidR="00C04E30" w:rsidRPr="00C80AD8" w:rsidRDefault="00C04E30" w:rsidP="00C04E30">
      <w:r w:rsidRPr="00C80AD8">
        <w:t xml:space="preserve">На начало месяца предприятие имеет убыток 4000 р. В течение месяца отражены следующие хозяйственные операции (табл. </w:t>
      </w:r>
      <w:r>
        <w:t>2</w:t>
      </w:r>
      <w:r w:rsidRPr="00C80AD8">
        <w:t>).</w:t>
      </w:r>
    </w:p>
    <w:p w14:paraId="735758CB" w14:textId="77777777" w:rsidR="00C04E30" w:rsidRPr="00C80AD8" w:rsidRDefault="00C04E30" w:rsidP="00C04E30">
      <w:r w:rsidRPr="00C80AD8">
        <w:t xml:space="preserve">Таблица </w:t>
      </w:r>
      <w:r>
        <w:t>2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4"/>
        <w:gridCol w:w="1483"/>
      </w:tblGrid>
      <w:tr w:rsidR="00C04E30" w:rsidRPr="00C80AD8" w14:paraId="0E727142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8F65D6D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Содержание операции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6B1E34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Сумма, р. </w:t>
            </w:r>
          </w:p>
        </w:tc>
      </w:tr>
      <w:tr w:rsidR="00C04E30" w:rsidRPr="00C80AD8" w14:paraId="55928450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6FA593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1. Получена прибыль от реализации продукции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12FE5DF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18000 </w:t>
            </w:r>
          </w:p>
        </w:tc>
      </w:tr>
      <w:tr w:rsidR="00C04E30" w:rsidRPr="00C80AD8" w14:paraId="45525024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0EAC4E8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2. Отражена убыль готовой продукции на складе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990DBEF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3000 </w:t>
            </w:r>
          </w:p>
        </w:tc>
      </w:tr>
      <w:tr w:rsidR="00C04E30" w:rsidRPr="00C80AD8" w14:paraId="38A792A5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1D959B6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3. Выплачен штраф за несвоевременное перечисление налогов в бюджет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A534C6C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1500 </w:t>
            </w:r>
          </w:p>
        </w:tc>
      </w:tr>
      <w:tr w:rsidR="00C04E30" w:rsidRPr="00C80AD8" w14:paraId="62655656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B19263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4. Получена прибыль от продажи патента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A498AFA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6000 </w:t>
            </w:r>
          </w:p>
        </w:tc>
      </w:tr>
    </w:tbl>
    <w:p w14:paraId="64ADFFF3" w14:textId="77777777" w:rsidR="003653E6" w:rsidRDefault="00C04E30" w:rsidP="003653E6">
      <w:r w:rsidRPr="00C80AD8">
        <w:t>Оформить активно-пассивный счет 99 «Прибыли и убытки», рассчитать обороты и сальдо</w:t>
      </w:r>
      <w:r>
        <w:t>.</w:t>
      </w:r>
    </w:p>
    <w:p w14:paraId="0240FDE6" w14:textId="77777777" w:rsidR="00C04E30" w:rsidRDefault="00C04E30" w:rsidP="003653E6"/>
    <w:p w14:paraId="12591442" w14:textId="77777777" w:rsidR="00182CFA" w:rsidRDefault="00182CFA" w:rsidP="00182CFA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14:paraId="7E6AE830" w14:textId="77777777" w:rsidR="00182CFA" w:rsidRPr="00306929" w:rsidRDefault="00182CFA" w:rsidP="00182CFA">
      <w:pPr>
        <w:ind w:firstLine="900"/>
        <w:contextualSpacing w:val="0"/>
      </w:pPr>
      <w:r w:rsidRPr="00306929">
        <w:t>Как представленные факты хозяйственной жизни будут раскрыты в различных видах учета, входящих в структуру хозяйственного учета. Укажите применяемые измерители. Результаты работы представьте в таблице 1.</w:t>
      </w:r>
    </w:p>
    <w:p w14:paraId="665A83D4" w14:textId="77777777" w:rsidR="00182CFA" w:rsidRPr="00306929" w:rsidRDefault="00182CFA" w:rsidP="00182CFA">
      <w:pPr>
        <w:ind w:firstLine="0"/>
        <w:contextualSpacing w:val="0"/>
      </w:pPr>
      <w:r w:rsidRPr="00306929">
        <w:t>Таблица 1  –  Раскрытие фактов хозяйственной жизни в  хозяйственном учете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9"/>
        <w:gridCol w:w="3456"/>
      </w:tblGrid>
      <w:tr w:rsidR="00182CFA" w:rsidRPr="00306929" w14:paraId="25F6C146" w14:textId="77777777" w:rsidTr="009D2D1F">
        <w:tc>
          <w:tcPr>
            <w:tcW w:w="6228" w:type="dxa"/>
            <w:shd w:val="clear" w:color="auto" w:fill="auto"/>
          </w:tcPr>
          <w:p w14:paraId="398048BD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Содержание факта хозяйственной жизни</w:t>
            </w:r>
          </w:p>
        </w:tc>
        <w:tc>
          <w:tcPr>
            <w:tcW w:w="3625" w:type="dxa"/>
            <w:shd w:val="clear" w:color="auto" w:fill="auto"/>
          </w:tcPr>
          <w:p w14:paraId="097343A5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Вид учета, измеритель</w:t>
            </w:r>
          </w:p>
        </w:tc>
      </w:tr>
      <w:tr w:rsidR="00182CFA" w:rsidRPr="00306929" w14:paraId="3B1E812D" w14:textId="77777777" w:rsidTr="009D2D1F">
        <w:tc>
          <w:tcPr>
            <w:tcW w:w="6228" w:type="dxa"/>
            <w:shd w:val="clear" w:color="auto" w:fill="auto"/>
          </w:tcPr>
          <w:p w14:paraId="066153FA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Выплата из кассы заработной платы сотрудникам организации</w:t>
            </w:r>
          </w:p>
        </w:tc>
        <w:tc>
          <w:tcPr>
            <w:tcW w:w="3625" w:type="dxa"/>
            <w:shd w:val="clear" w:color="auto" w:fill="auto"/>
          </w:tcPr>
          <w:p w14:paraId="5EDF647A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14:paraId="7EB2A034" w14:textId="77777777" w:rsidTr="009D2D1F">
        <w:tc>
          <w:tcPr>
            <w:tcW w:w="6228" w:type="dxa"/>
            <w:shd w:val="clear" w:color="auto" w:fill="auto"/>
          </w:tcPr>
          <w:p w14:paraId="1C4E618F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 xml:space="preserve">Выпуск готовой продукции </w:t>
            </w:r>
          </w:p>
        </w:tc>
        <w:tc>
          <w:tcPr>
            <w:tcW w:w="3625" w:type="dxa"/>
            <w:shd w:val="clear" w:color="auto" w:fill="auto"/>
          </w:tcPr>
          <w:p w14:paraId="060165FF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14:paraId="6E0AF8B2" w14:textId="77777777" w:rsidTr="009D2D1F">
        <w:tc>
          <w:tcPr>
            <w:tcW w:w="6228" w:type="dxa"/>
            <w:shd w:val="clear" w:color="auto" w:fill="auto"/>
          </w:tcPr>
          <w:p w14:paraId="25B8F06A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Расход сырья в производстве</w:t>
            </w:r>
          </w:p>
        </w:tc>
        <w:tc>
          <w:tcPr>
            <w:tcW w:w="3625" w:type="dxa"/>
            <w:shd w:val="clear" w:color="auto" w:fill="auto"/>
          </w:tcPr>
          <w:p w14:paraId="42EBE05C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14:paraId="1A245731" w14:textId="77777777" w:rsidTr="009D2D1F">
        <w:tc>
          <w:tcPr>
            <w:tcW w:w="6228" w:type="dxa"/>
            <w:shd w:val="clear" w:color="auto" w:fill="auto"/>
          </w:tcPr>
          <w:p w14:paraId="35F3A53F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Начисление амортизации основных средств, участвующих в процессе производства</w:t>
            </w:r>
          </w:p>
        </w:tc>
        <w:tc>
          <w:tcPr>
            <w:tcW w:w="3625" w:type="dxa"/>
            <w:shd w:val="clear" w:color="auto" w:fill="auto"/>
          </w:tcPr>
          <w:p w14:paraId="5F1740F8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14:paraId="2F8ECB88" w14:textId="77777777" w:rsidTr="009D2D1F">
        <w:tc>
          <w:tcPr>
            <w:tcW w:w="6228" w:type="dxa"/>
            <w:shd w:val="clear" w:color="auto" w:fill="auto"/>
          </w:tcPr>
          <w:p w14:paraId="7F31B841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Поступление на расчетный счет организации денежных средств от покупателей в оплату за товары</w:t>
            </w:r>
          </w:p>
        </w:tc>
        <w:tc>
          <w:tcPr>
            <w:tcW w:w="3625" w:type="dxa"/>
            <w:shd w:val="clear" w:color="auto" w:fill="auto"/>
          </w:tcPr>
          <w:p w14:paraId="3176A46E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</w:tbl>
    <w:p w14:paraId="1422E365" w14:textId="77777777" w:rsidR="00182CFA" w:rsidRDefault="00182CFA" w:rsidP="00182CFA">
      <w:pPr>
        <w:ind w:firstLine="708"/>
        <w:contextualSpacing w:val="0"/>
        <w:rPr>
          <w:b/>
        </w:rPr>
      </w:pPr>
    </w:p>
    <w:p w14:paraId="197A5C01" w14:textId="77777777" w:rsidR="00182CFA" w:rsidRDefault="00182CFA" w:rsidP="00182CFA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F371CF">
        <w:rPr>
          <w:b/>
          <w:i/>
        </w:rPr>
        <w:t>4</w:t>
      </w:r>
    </w:p>
    <w:p w14:paraId="062862B1" w14:textId="77777777" w:rsidR="00182CFA" w:rsidRDefault="00182CFA" w:rsidP="00182CFA">
      <w:pPr>
        <w:ind w:firstLine="708"/>
        <w:contextualSpacing w:val="0"/>
      </w:pPr>
      <w:r>
        <w:t>С</w:t>
      </w:r>
      <w:r w:rsidRPr="00306929">
        <w:t>истематизируйте источники финансирования деятельности экономического субъекта (обязательства) по срокам погашения</w:t>
      </w:r>
      <w:r>
        <w:t xml:space="preserve"> (по образцу таблицы 2</w:t>
      </w:r>
      <w:r w:rsidRPr="00306929">
        <w:t xml:space="preserve">), по принадлежности к экономическому субъекту (по образцу таблицы </w:t>
      </w:r>
      <w:r>
        <w:t>3</w:t>
      </w:r>
      <w:r w:rsidRPr="00306929">
        <w:t xml:space="preserve">). </w:t>
      </w:r>
    </w:p>
    <w:p w14:paraId="565EC8FC" w14:textId="77777777" w:rsidR="00182CFA" w:rsidRPr="00306929" w:rsidRDefault="00182CFA" w:rsidP="00182CFA">
      <w:pPr>
        <w:ind w:firstLine="900"/>
        <w:contextualSpacing w:val="0"/>
      </w:pPr>
      <w:r>
        <w:t>Исходные данные:</w:t>
      </w:r>
      <w:r w:rsidRPr="00CF475B">
        <w:t xml:space="preserve"> </w:t>
      </w:r>
      <w:r>
        <w:t>з</w:t>
      </w:r>
      <w:r w:rsidRPr="00306929">
        <w:t>адолженность по долгосрочному кредиту</w:t>
      </w:r>
      <w:r>
        <w:t>, у</w:t>
      </w:r>
      <w:r w:rsidRPr="00306929">
        <w:t>ставный капитал</w:t>
      </w:r>
      <w:r>
        <w:t>, ф</w:t>
      </w:r>
      <w:r w:rsidRPr="00306929">
        <w:t>инансирование из бюджета научно-исследовательских работ</w:t>
      </w:r>
      <w:r>
        <w:t>, з</w:t>
      </w:r>
      <w:r w:rsidRPr="00306929">
        <w:t>адолженность бюджету по налогу на имущество</w:t>
      </w:r>
      <w:r>
        <w:t>, з</w:t>
      </w:r>
      <w:r w:rsidRPr="00CF475B">
        <w:t>адолженность сотрудникам организации по заработной плате</w:t>
      </w:r>
      <w:r>
        <w:t>, п</w:t>
      </w:r>
      <w:r w:rsidRPr="00306929">
        <w:t>рибыль от основной деятельности</w:t>
      </w:r>
      <w:r>
        <w:t>, р</w:t>
      </w:r>
      <w:r w:rsidRPr="00306929">
        <w:t>езерв на оплату отпусков работникам основного производства</w:t>
      </w:r>
      <w:r>
        <w:t>, д</w:t>
      </w:r>
      <w:r w:rsidRPr="00306929">
        <w:t>обавочный капитал</w:t>
      </w:r>
      <w:r>
        <w:t>, н</w:t>
      </w:r>
      <w:r w:rsidRPr="00306929">
        <w:t>ераспределенная прибыль прошлых лет</w:t>
      </w:r>
      <w:r>
        <w:t>, р</w:t>
      </w:r>
      <w:r w:rsidRPr="00306929">
        <w:t>езервный капитал</w:t>
      </w:r>
      <w:r>
        <w:t>, р</w:t>
      </w:r>
      <w:r w:rsidRPr="00306929">
        <w:t>езерв под обесценение вложений в ценные бумаги</w:t>
      </w:r>
      <w:r>
        <w:t>, д</w:t>
      </w:r>
      <w:r w:rsidRPr="00306929">
        <w:t>оходы будущих периодов</w:t>
      </w:r>
      <w:r>
        <w:t>, з</w:t>
      </w:r>
      <w:r w:rsidRPr="00306929">
        <w:t>адолженность бюджету по налогу на добавленную стоимость</w:t>
      </w:r>
      <w:r>
        <w:t>.</w:t>
      </w:r>
    </w:p>
    <w:p w14:paraId="0D515D97" w14:textId="77777777" w:rsidR="00182CFA" w:rsidRPr="00306929" w:rsidRDefault="00182CFA" w:rsidP="00182CFA">
      <w:pPr>
        <w:ind w:firstLine="907"/>
        <w:contextualSpacing w:val="0"/>
      </w:pPr>
    </w:p>
    <w:p w14:paraId="05802EDE" w14:textId="77777777" w:rsidR="00182CFA" w:rsidRPr="00306929" w:rsidRDefault="00182CFA" w:rsidP="00182CFA">
      <w:pPr>
        <w:ind w:firstLine="907"/>
        <w:contextualSpacing w:val="0"/>
      </w:pPr>
      <w:r w:rsidRPr="00306929">
        <w:t xml:space="preserve">Таблица </w:t>
      </w:r>
      <w:r>
        <w:t>2 -</w:t>
      </w:r>
      <w:r w:rsidRPr="00306929">
        <w:t xml:space="preserve"> Источники финансирования деятельности, сгруппированные по срокам погашения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3115"/>
        <w:gridCol w:w="3127"/>
      </w:tblGrid>
      <w:tr w:rsidR="00182CFA" w:rsidRPr="00306929" w14:paraId="05DE5071" w14:textId="77777777" w:rsidTr="009D2D1F">
        <w:tc>
          <w:tcPr>
            <w:tcW w:w="3284" w:type="dxa"/>
            <w:shd w:val="clear" w:color="auto" w:fill="auto"/>
          </w:tcPr>
          <w:p w14:paraId="2192B94A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lastRenderedPageBreak/>
              <w:t>Отсроченные</w:t>
            </w:r>
          </w:p>
        </w:tc>
        <w:tc>
          <w:tcPr>
            <w:tcW w:w="3284" w:type="dxa"/>
            <w:shd w:val="clear" w:color="auto" w:fill="auto"/>
          </w:tcPr>
          <w:p w14:paraId="14DB2008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Долгосрочные</w:t>
            </w:r>
          </w:p>
        </w:tc>
        <w:tc>
          <w:tcPr>
            <w:tcW w:w="3285" w:type="dxa"/>
            <w:shd w:val="clear" w:color="auto" w:fill="auto"/>
          </w:tcPr>
          <w:p w14:paraId="356885B5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Краткосрочные</w:t>
            </w:r>
          </w:p>
        </w:tc>
      </w:tr>
      <w:tr w:rsidR="00182CFA" w:rsidRPr="00306929" w14:paraId="3ED3FB93" w14:textId="77777777" w:rsidTr="009D2D1F">
        <w:tc>
          <w:tcPr>
            <w:tcW w:w="3284" w:type="dxa"/>
            <w:shd w:val="clear" w:color="auto" w:fill="auto"/>
          </w:tcPr>
          <w:p w14:paraId="3CC0B0CE" w14:textId="77777777"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4" w:type="dxa"/>
            <w:shd w:val="clear" w:color="auto" w:fill="auto"/>
          </w:tcPr>
          <w:p w14:paraId="474B99B0" w14:textId="77777777"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5" w:type="dxa"/>
            <w:shd w:val="clear" w:color="auto" w:fill="auto"/>
          </w:tcPr>
          <w:p w14:paraId="3A53E063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</w:tbl>
    <w:p w14:paraId="6567066C" w14:textId="77777777" w:rsidR="00182CFA" w:rsidRPr="00306929" w:rsidRDefault="00182CFA" w:rsidP="00182CFA">
      <w:pPr>
        <w:ind w:firstLine="907"/>
        <w:contextualSpacing w:val="0"/>
      </w:pPr>
    </w:p>
    <w:p w14:paraId="3C6E5D23" w14:textId="77777777" w:rsidR="00182CFA" w:rsidRPr="00306929" w:rsidRDefault="00182CFA" w:rsidP="00182CFA">
      <w:pPr>
        <w:ind w:firstLine="907"/>
        <w:contextualSpacing w:val="0"/>
      </w:pPr>
      <w:r w:rsidRPr="00306929">
        <w:t xml:space="preserve">  Таблица </w:t>
      </w:r>
      <w:r>
        <w:t xml:space="preserve">3 </w:t>
      </w:r>
      <w:r w:rsidRPr="00306929">
        <w:t>- Источники финансирования деятельности, сгруппированные по принадлежности к экономическому субъекту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080"/>
        <w:gridCol w:w="3140"/>
      </w:tblGrid>
      <w:tr w:rsidR="00182CFA" w:rsidRPr="00306929" w14:paraId="2986299B" w14:textId="77777777" w:rsidTr="009D2D1F">
        <w:tc>
          <w:tcPr>
            <w:tcW w:w="3284" w:type="dxa"/>
            <w:shd w:val="clear" w:color="auto" w:fill="auto"/>
          </w:tcPr>
          <w:p w14:paraId="70F7E3E0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Собственные</w:t>
            </w:r>
          </w:p>
        </w:tc>
        <w:tc>
          <w:tcPr>
            <w:tcW w:w="3284" w:type="dxa"/>
            <w:shd w:val="clear" w:color="auto" w:fill="auto"/>
          </w:tcPr>
          <w:p w14:paraId="70EDF23F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Заемные</w:t>
            </w:r>
          </w:p>
        </w:tc>
        <w:tc>
          <w:tcPr>
            <w:tcW w:w="3285" w:type="dxa"/>
            <w:shd w:val="clear" w:color="auto" w:fill="auto"/>
          </w:tcPr>
          <w:p w14:paraId="73734E0C" w14:textId="77777777" w:rsidR="00182CFA" w:rsidRPr="00306929" w:rsidRDefault="00182CFA" w:rsidP="009D2D1F">
            <w:pPr>
              <w:ind w:firstLine="0"/>
              <w:contextualSpacing w:val="0"/>
            </w:pPr>
            <w:r w:rsidRPr="00306929">
              <w:t>Привлеченные</w:t>
            </w:r>
          </w:p>
        </w:tc>
      </w:tr>
      <w:tr w:rsidR="00182CFA" w:rsidRPr="00306929" w14:paraId="0B19DB27" w14:textId="77777777" w:rsidTr="009D2D1F">
        <w:tc>
          <w:tcPr>
            <w:tcW w:w="3284" w:type="dxa"/>
            <w:shd w:val="clear" w:color="auto" w:fill="auto"/>
          </w:tcPr>
          <w:p w14:paraId="1AF6F3E8" w14:textId="77777777"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4" w:type="dxa"/>
            <w:shd w:val="clear" w:color="auto" w:fill="auto"/>
          </w:tcPr>
          <w:p w14:paraId="0EF7C188" w14:textId="77777777"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5" w:type="dxa"/>
            <w:shd w:val="clear" w:color="auto" w:fill="auto"/>
          </w:tcPr>
          <w:p w14:paraId="51C8455D" w14:textId="77777777" w:rsidR="00182CFA" w:rsidRPr="00306929" w:rsidRDefault="00182CFA" w:rsidP="009D2D1F">
            <w:pPr>
              <w:ind w:firstLine="0"/>
              <w:contextualSpacing w:val="0"/>
            </w:pPr>
          </w:p>
        </w:tc>
      </w:tr>
    </w:tbl>
    <w:p w14:paraId="79F91CE3" w14:textId="77777777" w:rsidR="00182CFA" w:rsidRPr="00306929" w:rsidRDefault="00182CFA" w:rsidP="00182CFA">
      <w:pPr>
        <w:ind w:firstLine="0"/>
        <w:contextualSpacing w:val="0"/>
      </w:pPr>
    </w:p>
    <w:p w14:paraId="64D639BB" w14:textId="77777777" w:rsidR="00182CFA" w:rsidRDefault="00182CFA" w:rsidP="00182CFA">
      <w:pPr>
        <w:rPr>
          <w:lang w:eastAsia="ru-RU"/>
        </w:rPr>
      </w:pPr>
      <w:r w:rsidRPr="00A76FE7">
        <w:rPr>
          <w:b/>
          <w:i/>
        </w:rPr>
        <w:t xml:space="preserve">Задание </w:t>
      </w:r>
      <w:r w:rsidR="00F371CF">
        <w:rPr>
          <w:b/>
          <w:i/>
        </w:rPr>
        <w:t>5</w:t>
      </w:r>
    </w:p>
    <w:p w14:paraId="0971B226" w14:textId="77777777" w:rsidR="00182CFA" w:rsidRDefault="00182CFA" w:rsidP="00182CFA">
      <w:pPr>
        <w:rPr>
          <w:lang w:eastAsia="ru-RU"/>
        </w:rPr>
      </w:pPr>
      <w:r w:rsidRPr="00CF475B">
        <w:rPr>
          <w:lang w:eastAsia="ru-RU"/>
        </w:rPr>
        <w:t>Заполните таблицу "Функции органов фонда МСФО"</w:t>
      </w:r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640"/>
      </w:tblGrid>
      <w:tr w:rsidR="00182CFA" w14:paraId="35ACA2F4" w14:textId="77777777" w:rsidTr="009D2D1F">
        <w:tc>
          <w:tcPr>
            <w:tcW w:w="4927" w:type="dxa"/>
            <w:vAlign w:val="center"/>
          </w:tcPr>
          <w:p w14:paraId="69CC0EE7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Наименование органа</w:t>
            </w:r>
          </w:p>
        </w:tc>
        <w:tc>
          <w:tcPr>
            <w:tcW w:w="4927" w:type="dxa"/>
            <w:vAlign w:val="center"/>
          </w:tcPr>
          <w:p w14:paraId="5464AF79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Основная функция</w:t>
            </w:r>
          </w:p>
        </w:tc>
      </w:tr>
      <w:tr w:rsidR="00182CFA" w14:paraId="6B6FAC20" w14:textId="77777777" w:rsidTr="009D2D1F">
        <w:tc>
          <w:tcPr>
            <w:tcW w:w="4927" w:type="dxa"/>
            <w:vAlign w:val="center"/>
          </w:tcPr>
          <w:p w14:paraId="3AF436FE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Попечительский совет</w:t>
            </w:r>
          </w:p>
        </w:tc>
        <w:tc>
          <w:tcPr>
            <w:tcW w:w="4927" w:type="dxa"/>
            <w:vAlign w:val="center"/>
          </w:tcPr>
          <w:p w14:paraId="45EE8BA2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182CFA" w14:paraId="327CA3B8" w14:textId="77777777" w:rsidTr="009D2D1F">
        <w:tc>
          <w:tcPr>
            <w:tcW w:w="4927" w:type="dxa"/>
            <w:vAlign w:val="center"/>
          </w:tcPr>
          <w:p w14:paraId="362B4581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Совет по МСФО</w:t>
            </w:r>
          </w:p>
        </w:tc>
        <w:tc>
          <w:tcPr>
            <w:tcW w:w="4927" w:type="dxa"/>
            <w:vAlign w:val="center"/>
          </w:tcPr>
          <w:p w14:paraId="351645B3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182CFA" w14:paraId="2DE30A2C" w14:textId="77777777" w:rsidTr="009D2D1F">
        <w:tc>
          <w:tcPr>
            <w:tcW w:w="4927" w:type="dxa"/>
            <w:vAlign w:val="center"/>
          </w:tcPr>
          <w:p w14:paraId="72A18C74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Консультативный совет</w:t>
            </w:r>
          </w:p>
        </w:tc>
        <w:tc>
          <w:tcPr>
            <w:tcW w:w="4927" w:type="dxa"/>
            <w:vAlign w:val="center"/>
          </w:tcPr>
          <w:p w14:paraId="3A962A56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182CFA" w14:paraId="3551FD18" w14:textId="77777777" w:rsidTr="009D2D1F">
        <w:tc>
          <w:tcPr>
            <w:tcW w:w="4927" w:type="dxa"/>
            <w:vAlign w:val="center"/>
          </w:tcPr>
          <w:p w14:paraId="7A0A0728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F475B">
              <w:rPr>
                <w:rFonts w:eastAsia="Calibri"/>
                <w:color w:val="000000"/>
                <w:lang w:eastAsia="ru-RU"/>
              </w:rPr>
              <w:t>Комитет по интерпретациям</w:t>
            </w:r>
          </w:p>
        </w:tc>
        <w:tc>
          <w:tcPr>
            <w:tcW w:w="4927" w:type="dxa"/>
            <w:vAlign w:val="center"/>
          </w:tcPr>
          <w:p w14:paraId="6DC18D2E" w14:textId="77777777"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</w:tbl>
    <w:p w14:paraId="25676467" w14:textId="77777777" w:rsidR="00182CFA" w:rsidRDefault="00182CFA" w:rsidP="00182CFA">
      <w:pPr>
        <w:rPr>
          <w:lang w:eastAsia="ru-RU"/>
        </w:rPr>
      </w:pPr>
    </w:p>
    <w:p w14:paraId="0A837F5D" w14:textId="77777777"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14:paraId="71B9D23F" w14:textId="77777777" w:rsidR="00E542EE" w:rsidRDefault="00E542EE" w:rsidP="00E542EE">
      <w:pPr>
        <w:numPr>
          <w:ilvl w:val="0"/>
          <w:numId w:val="29"/>
        </w:numPr>
      </w:pPr>
      <w:r>
        <w:t xml:space="preserve">Предмет и метод бухгалтерского учёта. </w:t>
      </w:r>
    </w:p>
    <w:p w14:paraId="00C3B553" w14:textId="77777777" w:rsidR="00E542EE" w:rsidRDefault="00E542EE" w:rsidP="00E542EE">
      <w:pPr>
        <w:numPr>
          <w:ilvl w:val="0"/>
          <w:numId w:val="29"/>
        </w:numPr>
      </w:pPr>
      <w:r>
        <w:t>Объекты бухгалтерского учёта.</w:t>
      </w:r>
    </w:p>
    <w:p w14:paraId="6F0FDD22" w14:textId="77777777" w:rsidR="00E542EE" w:rsidRDefault="00E542EE" w:rsidP="00E542EE">
      <w:pPr>
        <w:numPr>
          <w:ilvl w:val="0"/>
          <w:numId w:val="29"/>
        </w:numPr>
      </w:pPr>
      <w:r>
        <w:t>Классификация о</w:t>
      </w:r>
      <w:r w:rsidRPr="00E542EE">
        <w:t>бъект</w:t>
      </w:r>
      <w:r>
        <w:t>ов</w:t>
      </w:r>
      <w:r w:rsidRPr="00E542EE">
        <w:t xml:space="preserve"> бухгалтерского учёта</w:t>
      </w:r>
      <w:r>
        <w:t xml:space="preserve">. </w:t>
      </w:r>
    </w:p>
    <w:p w14:paraId="4EA35318" w14:textId="77777777" w:rsidR="00E542EE" w:rsidRDefault="00E542EE" w:rsidP="00E542EE">
      <w:pPr>
        <w:numPr>
          <w:ilvl w:val="0"/>
          <w:numId w:val="29"/>
        </w:numPr>
      </w:pPr>
      <w:r>
        <w:t xml:space="preserve">План счетов. </w:t>
      </w:r>
    </w:p>
    <w:p w14:paraId="6AB79AC1" w14:textId="77777777" w:rsidR="00E542EE" w:rsidRDefault="00E542EE" w:rsidP="00E542EE">
      <w:pPr>
        <w:numPr>
          <w:ilvl w:val="0"/>
          <w:numId w:val="29"/>
        </w:numPr>
      </w:pPr>
      <w:r>
        <w:t xml:space="preserve">Бухгалтерские проводки. </w:t>
      </w:r>
    </w:p>
    <w:p w14:paraId="20B8D28E" w14:textId="77777777" w:rsidR="00E542EE" w:rsidRDefault="00E542EE" w:rsidP="00E542EE">
      <w:pPr>
        <w:numPr>
          <w:ilvl w:val="0"/>
          <w:numId w:val="29"/>
        </w:numPr>
      </w:pPr>
      <w:r>
        <w:t xml:space="preserve">Синтетический и аналитический учет. </w:t>
      </w:r>
    </w:p>
    <w:p w14:paraId="6D724F66" w14:textId="77777777" w:rsidR="00E542EE" w:rsidRDefault="00E542EE" w:rsidP="00E542EE">
      <w:pPr>
        <w:numPr>
          <w:ilvl w:val="0"/>
          <w:numId w:val="29"/>
        </w:numPr>
      </w:pPr>
      <w:r>
        <w:t>Методы калькулирования себестоимости.</w:t>
      </w:r>
    </w:p>
    <w:p w14:paraId="555CF6A3" w14:textId="77777777" w:rsidR="00E542EE" w:rsidRDefault="00E542EE" w:rsidP="00E542EE">
      <w:pPr>
        <w:numPr>
          <w:ilvl w:val="0"/>
          <w:numId w:val="29"/>
        </w:numPr>
      </w:pPr>
      <w:r>
        <w:t>Контроль исполнения бюджетов.</w:t>
      </w:r>
    </w:p>
    <w:p w14:paraId="6A6EAB58" w14:textId="77777777" w:rsidR="00F371CF" w:rsidRDefault="00F371CF" w:rsidP="00F371CF">
      <w:pPr>
        <w:numPr>
          <w:ilvl w:val="0"/>
          <w:numId w:val="29"/>
        </w:numPr>
      </w:pPr>
      <w:r>
        <w:t>Понятие МСФО.</w:t>
      </w:r>
    </w:p>
    <w:p w14:paraId="32B050E5" w14:textId="77777777" w:rsidR="00F371CF" w:rsidRDefault="00F371CF" w:rsidP="00F371CF">
      <w:pPr>
        <w:numPr>
          <w:ilvl w:val="0"/>
          <w:numId w:val="29"/>
        </w:numPr>
      </w:pPr>
      <w:r>
        <w:t>Общее содержание МСФО.</w:t>
      </w:r>
    </w:p>
    <w:p w14:paraId="311C39AF" w14:textId="77777777" w:rsidR="00F371CF" w:rsidRDefault="00F371CF" w:rsidP="00F371CF">
      <w:pPr>
        <w:numPr>
          <w:ilvl w:val="0"/>
          <w:numId w:val="29"/>
        </w:numPr>
      </w:pPr>
      <w:r>
        <w:t xml:space="preserve">Предназначение МСФО. </w:t>
      </w:r>
    </w:p>
    <w:p w14:paraId="22DDB5E8" w14:textId="77777777" w:rsidR="00F371CF" w:rsidRDefault="00F371CF" w:rsidP="00F371CF">
      <w:pPr>
        <w:numPr>
          <w:ilvl w:val="0"/>
          <w:numId w:val="29"/>
        </w:numPr>
      </w:pPr>
      <w:r>
        <w:t xml:space="preserve">Учетный цикл на предприятии. </w:t>
      </w:r>
    </w:p>
    <w:p w14:paraId="2E985C20" w14:textId="77777777" w:rsidR="00F371CF" w:rsidRDefault="00F371CF" w:rsidP="00F371CF">
      <w:pPr>
        <w:numPr>
          <w:ilvl w:val="0"/>
          <w:numId w:val="29"/>
        </w:numPr>
      </w:pPr>
      <w:r>
        <w:t>Состав финансовой отчетности.</w:t>
      </w:r>
    </w:p>
    <w:p w14:paraId="2612FF1C" w14:textId="77777777" w:rsidR="00F371CF" w:rsidRDefault="00F371CF" w:rsidP="00F371CF">
      <w:pPr>
        <w:numPr>
          <w:ilvl w:val="0"/>
          <w:numId w:val="29"/>
        </w:numPr>
      </w:pPr>
      <w:r>
        <w:t xml:space="preserve">Отражение дебиторской задолженности. </w:t>
      </w:r>
    </w:p>
    <w:p w14:paraId="41D19396" w14:textId="77777777" w:rsidR="00F371CF" w:rsidRDefault="00F371CF" w:rsidP="00F371CF">
      <w:pPr>
        <w:numPr>
          <w:ilvl w:val="0"/>
          <w:numId w:val="29"/>
        </w:numPr>
      </w:pPr>
      <w:r>
        <w:t>Основные бизнес-процессы учета на предприятии</w:t>
      </w:r>
    </w:p>
    <w:p w14:paraId="2017C719" w14:textId="77777777" w:rsidR="00E542EE" w:rsidRDefault="00F371CF" w:rsidP="00F371CF">
      <w:pPr>
        <w:numPr>
          <w:ilvl w:val="0"/>
          <w:numId w:val="29"/>
        </w:numPr>
      </w:pPr>
      <w:r>
        <w:t xml:space="preserve">Моделирование процессов учета. </w:t>
      </w:r>
    </w:p>
    <w:sectPr w:rsidR="00E542EE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D702" w14:textId="77777777" w:rsidR="00856D96" w:rsidRDefault="00856D96" w:rsidP="00C44C4A">
      <w:r>
        <w:separator/>
      </w:r>
    </w:p>
  </w:endnote>
  <w:endnote w:type="continuationSeparator" w:id="0">
    <w:p w14:paraId="1ED1B32E" w14:textId="77777777" w:rsidR="00856D96" w:rsidRDefault="00856D96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C93F" w14:textId="77777777" w:rsidR="00856D96" w:rsidRDefault="00856D96" w:rsidP="00C44C4A">
      <w:r>
        <w:separator/>
      </w:r>
    </w:p>
  </w:footnote>
  <w:footnote w:type="continuationSeparator" w:id="0">
    <w:p w14:paraId="69DA7C18" w14:textId="77777777" w:rsidR="00856D96" w:rsidRDefault="00856D96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FC05" w14:textId="77777777"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C62">
      <w:rPr>
        <w:noProof/>
      </w:rPr>
      <w:t>2</w:t>
    </w:r>
    <w:r>
      <w:fldChar w:fldCharType="end"/>
    </w:r>
  </w:p>
  <w:p w14:paraId="1BC73D09" w14:textId="77777777"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39B76F5"/>
    <w:multiLevelType w:val="hybridMultilevel"/>
    <w:tmpl w:val="CA02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B56E1"/>
    <w:multiLevelType w:val="hybridMultilevel"/>
    <w:tmpl w:val="3BA6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A23CA5"/>
    <w:multiLevelType w:val="hybridMultilevel"/>
    <w:tmpl w:val="8ED4C544"/>
    <w:lvl w:ilvl="0" w:tplc="07AE1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71ECD"/>
    <w:multiLevelType w:val="hybridMultilevel"/>
    <w:tmpl w:val="A2423594"/>
    <w:lvl w:ilvl="0" w:tplc="2160D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5" w15:restartNumberingAfterBreak="0">
    <w:nsid w:val="3FDA4462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AC48AF"/>
    <w:multiLevelType w:val="hybridMultilevel"/>
    <w:tmpl w:val="3BA6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21341D"/>
    <w:multiLevelType w:val="multilevel"/>
    <w:tmpl w:val="E196E37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5F367166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A72868"/>
    <w:multiLevelType w:val="multilevel"/>
    <w:tmpl w:val="C6761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0B0AC5"/>
    <w:multiLevelType w:val="hybridMultilevel"/>
    <w:tmpl w:val="B5A28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067E1E"/>
    <w:multiLevelType w:val="hybridMultilevel"/>
    <w:tmpl w:val="CDC0FF06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051220">
    <w:abstractNumId w:val="0"/>
  </w:num>
  <w:num w:numId="2" w16cid:durableId="499783002">
    <w:abstractNumId w:val="1"/>
  </w:num>
  <w:num w:numId="3" w16cid:durableId="1964267787">
    <w:abstractNumId w:val="2"/>
  </w:num>
  <w:num w:numId="4" w16cid:durableId="1228884622">
    <w:abstractNumId w:val="17"/>
  </w:num>
  <w:num w:numId="5" w16cid:durableId="1949893776">
    <w:abstractNumId w:val="23"/>
  </w:num>
  <w:num w:numId="6" w16cid:durableId="1544245648">
    <w:abstractNumId w:val="26"/>
  </w:num>
  <w:num w:numId="7" w16cid:durableId="1782921508">
    <w:abstractNumId w:val="18"/>
  </w:num>
  <w:num w:numId="8" w16cid:durableId="1702978668">
    <w:abstractNumId w:val="22"/>
  </w:num>
  <w:num w:numId="9" w16cid:durableId="2137136073">
    <w:abstractNumId w:val="10"/>
  </w:num>
  <w:num w:numId="10" w16cid:durableId="1972010435">
    <w:abstractNumId w:val="7"/>
  </w:num>
  <w:num w:numId="11" w16cid:durableId="1977371201">
    <w:abstractNumId w:val="8"/>
  </w:num>
  <w:num w:numId="12" w16cid:durableId="739710883">
    <w:abstractNumId w:val="16"/>
  </w:num>
  <w:num w:numId="13" w16cid:durableId="1910114117">
    <w:abstractNumId w:val="5"/>
  </w:num>
  <w:num w:numId="14" w16cid:durableId="331566740">
    <w:abstractNumId w:val="27"/>
  </w:num>
  <w:num w:numId="15" w16cid:durableId="29261321">
    <w:abstractNumId w:val="6"/>
  </w:num>
  <w:num w:numId="16" w16cid:durableId="937056851">
    <w:abstractNumId w:val="29"/>
  </w:num>
  <w:num w:numId="17" w16cid:durableId="183788211">
    <w:abstractNumId w:val="14"/>
  </w:num>
  <w:num w:numId="18" w16cid:durableId="1802261303">
    <w:abstractNumId w:val="28"/>
  </w:num>
  <w:num w:numId="19" w16cid:durableId="711685678">
    <w:abstractNumId w:val="12"/>
  </w:num>
  <w:num w:numId="20" w16cid:durableId="252083910">
    <w:abstractNumId w:val="4"/>
  </w:num>
  <w:num w:numId="21" w16cid:durableId="133110724">
    <w:abstractNumId w:val="25"/>
  </w:num>
  <w:num w:numId="22" w16cid:durableId="1508323180">
    <w:abstractNumId w:val="24"/>
  </w:num>
  <w:num w:numId="23" w16cid:durableId="540284675">
    <w:abstractNumId w:val="3"/>
  </w:num>
  <w:num w:numId="24" w16cid:durableId="842624937">
    <w:abstractNumId w:val="20"/>
  </w:num>
  <w:num w:numId="25" w16cid:durableId="2025008639">
    <w:abstractNumId w:val="21"/>
  </w:num>
  <w:num w:numId="26" w16cid:durableId="1717587761">
    <w:abstractNumId w:val="15"/>
  </w:num>
  <w:num w:numId="27" w16cid:durableId="1889413087">
    <w:abstractNumId w:val="9"/>
  </w:num>
  <w:num w:numId="28" w16cid:durableId="2012564284">
    <w:abstractNumId w:val="13"/>
  </w:num>
  <w:num w:numId="29" w16cid:durableId="581913199">
    <w:abstractNumId w:val="19"/>
  </w:num>
  <w:num w:numId="30" w16cid:durableId="114177585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346A"/>
    <w:rsid w:val="00094FAE"/>
    <w:rsid w:val="000B42C3"/>
    <w:rsid w:val="000C3185"/>
    <w:rsid w:val="000D3991"/>
    <w:rsid w:val="000E57EE"/>
    <w:rsid w:val="000E6856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82CFA"/>
    <w:rsid w:val="001A6C62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36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53E6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31E9C"/>
    <w:rsid w:val="00541432"/>
    <w:rsid w:val="0054600E"/>
    <w:rsid w:val="00554E07"/>
    <w:rsid w:val="00556ADC"/>
    <w:rsid w:val="00561448"/>
    <w:rsid w:val="0056454E"/>
    <w:rsid w:val="005776B9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5F6B08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732EA"/>
    <w:rsid w:val="0068130D"/>
    <w:rsid w:val="00682C2A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2701"/>
    <w:rsid w:val="007A6F3D"/>
    <w:rsid w:val="007B1E91"/>
    <w:rsid w:val="007C09EE"/>
    <w:rsid w:val="007C173A"/>
    <w:rsid w:val="007C511B"/>
    <w:rsid w:val="007C7D94"/>
    <w:rsid w:val="007D3951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09"/>
    <w:rsid w:val="00856D96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4035E"/>
    <w:rsid w:val="00952F82"/>
    <w:rsid w:val="009736E0"/>
    <w:rsid w:val="009853D4"/>
    <w:rsid w:val="00985F39"/>
    <w:rsid w:val="009A38CA"/>
    <w:rsid w:val="009C68EE"/>
    <w:rsid w:val="009D2D1F"/>
    <w:rsid w:val="009D34AF"/>
    <w:rsid w:val="009D52A7"/>
    <w:rsid w:val="009D7862"/>
    <w:rsid w:val="009E4309"/>
    <w:rsid w:val="009F77CC"/>
    <w:rsid w:val="00A02BBC"/>
    <w:rsid w:val="00A13C6A"/>
    <w:rsid w:val="00A13E31"/>
    <w:rsid w:val="00A15A64"/>
    <w:rsid w:val="00A257B7"/>
    <w:rsid w:val="00A25F5A"/>
    <w:rsid w:val="00A357F3"/>
    <w:rsid w:val="00A404BD"/>
    <w:rsid w:val="00A41AA1"/>
    <w:rsid w:val="00A43726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00BD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04E30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0349"/>
    <w:rsid w:val="00C85674"/>
    <w:rsid w:val="00C875BA"/>
    <w:rsid w:val="00C94B67"/>
    <w:rsid w:val="00CA2D79"/>
    <w:rsid w:val="00CA7150"/>
    <w:rsid w:val="00CC2606"/>
    <w:rsid w:val="00CC2CEF"/>
    <w:rsid w:val="00CD4EEA"/>
    <w:rsid w:val="00CE1791"/>
    <w:rsid w:val="00CE7C27"/>
    <w:rsid w:val="00D05CAD"/>
    <w:rsid w:val="00D13A83"/>
    <w:rsid w:val="00D13CDF"/>
    <w:rsid w:val="00D26C87"/>
    <w:rsid w:val="00D35FF7"/>
    <w:rsid w:val="00D36A3E"/>
    <w:rsid w:val="00D416D0"/>
    <w:rsid w:val="00D44ED6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5DA3"/>
    <w:rsid w:val="00E364BB"/>
    <w:rsid w:val="00E42AD1"/>
    <w:rsid w:val="00E43989"/>
    <w:rsid w:val="00E542EE"/>
    <w:rsid w:val="00E6089F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371CF"/>
    <w:rsid w:val="00F4112C"/>
    <w:rsid w:val="00F45BAE"/>
    <w:rsid w:val="00F51979"/>
    <w:rsid w:val="00F622F8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37042"/>
  <w15:chartTrackingRefBased/>
  <w15:docId w15:val="{0D4ECF67-1C78-4674-850B-B0C0438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customStyle="1" w:styleId="26">
    <w:name w:val="Абзац списка2"/>
    <w:basedOn w:val="a"/>
    <w:rsid w:val="00A13C6A"/>
    <w:pPr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-">
    <w:name w:val="опред-е"/>
    <w:rsid w:val="00C04E30"/>
  </w:style>
  <w:style w:type="character" w:styleId="afc">
    <w:name w:val="Strong"/>
    <w:qFormat/>
    <w:rsid w:val="00C04E30"/>
    <w:rPr>
      <w:b/>
      <w:bCs/>
    </w:rPr>
  </w:style>
  <w:style w:type="paragraph" w:styleId="afd">
    <w:name w:val="Normal (Web)"/>
    <w:basedOn w:val="a"/>
    <w:rsid w:val="00C04E30"/>
    <w:pPr>
      <w:spacing w:before="280" w:after="280"/>
      <w:ind w:firstLine="0"/>
      <w:contextualSpacing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EFCAC37-2CAE-4C99-A9CC-F7B5981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2023-09-18T07:43:00Z</dcterms:created>
  <dcterms:modified xsi:type="dcterms:W3CDTF">2023-09-23T09:22:00Z</dcterms:modified>
</cp:coreProperties>
</file>