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" w:right="226" w:hanging="3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rPr>
          <w:color w:val="000000"/>
          <w:sz w:val="26"/>
          <w:szCs w:val="26"/>
        </w:rPr>
      </w:pP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МИНИСТЕРСТВО НАУКИ И ВЫСШЕГО ОБРАЗОВАНИЯ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РОССИЙСКОЙ ФЕДЕРАЦИИ</w:t>
      </w: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ФЕДЕРАЛЬНОЕ ГОСУДАРСТВЕННОЕ БЮДЖЕТНОЕ ОБРАЗОВАТЕЛЬНОЕ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УЧРЕЖДЕНИЕ ВЫСШЕГО ОБРАЗОВАНИЯ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«Рязанский государственный радиотехнический университет имени В.Ф. Уткина»</w:t>
      </w: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9" w:hanging="2"/>
        <w:jc w:val="center"/>
        <w:rPr>
          <w:color w:val="000000"/>
          <w:sz w:val="28"/>
          <w:szCs w:val="28"/>
        </w:rPr>
      </w:pPr>
      <w:r>
        <w:rPr>
          <w:color w:val="000000"/>
          <w:szCs w:val="24"/>
        </w:rPr>
        <w:t>КАФЕДРА «ЭЛЕКТРОННЫЕ ВЫЧИСЛИТЕЛЬНЫЕ МАШИНЫ»</w:t>
      </w: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" w:hanging="4"/>
        <w:rPr>
          <w:color w:val="000000"/>
          <w:sz w:val="44"/>
          <w:szCs w:val="44"/>
        </w:rPr>
      </w:pP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9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«Управление IT-продуктами»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направление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38.03.05 </w:t>
      </w:r>
      <w:r>
        <w:rPr>
          <w:color w:val="000000"/>
          <w:sz w:val="28"/>
          <w:szCs w:val="28"/>
        </w:rPr>
        <w:t>Бизнес-информатика</w:t>
      </w: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Профиль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Cs w:val="24"/>
        </w:rPr>
      </w:pPr>
      <w:r>
        <w:rPr>
          <w:color w:val="000000"/>
          <w:sz w:val="28"/>
          <w:szCs w:val="28"/>
        </w:rPr>
        <w:t>Бизнес-информатика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Квалификация (степень) выпускника — бакалавр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color w:val="000000"/>
          <w:sz w:val="26"/>
          <w:szCs w:val="26"/>
        </w:rPr>
        <w:t xml:space="preserve">Форма обучения — очная, </w:t>
      </w:r>
      <w:r>
        <w:rPr>
          <w:sz w:val="26"/>
          <w:szCs w:val="26"/>
        </w:rPr>
        <w:t>очно-</w:t>
      </w:r>
      <w:r>
        <w:rPr>
          <w:color w:val="000000"/>
          <w:sz w:val="26"/>
          <w:szCs w:val="26"/>
        </w:rPr>
        <w:t>заочная</w:t>
      </w: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30"/>
          <w:szCs w:val="3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  <w:sectPr w:rsidR="00E41407"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:rsidR="00E41407" w:rsidRDefault="009E4D7D">
      <w:pPr>
        <w:pStyle w:val="1"/>
        <w:spacing w:before="71"/>
        <w:ind w:left="0" w:hanging="2"/>
      </w:pPr>
      <w:r>
        <w:lastRenderedPageBreak/>
        <w:t>1 ОБЩИЕ ПОЛОЖЕНИЯ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</w:t>
      </w:r>
      <w:r>
        <w:rPr>
          <w:color w:val="000000"/>
          <w:sz w:val="28"/>
          <w:szCs w:val="28"/>
        </w:rPr>
        <w:t xml:space="preserve">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41" w:hanging="3"/>
        <w:jc w:val="both"/>
        <w:rPr>
          <w:color w:val="000000"/>
          <w:szCs w:val="24"/>
        </w:rPr>
      </w:pPr>
      <w:r>
        <w:rPr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экзамена.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экзамена – письменный опрос по теоретическим вопросам.</w:t>
      </w: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:rsidR="00E41407" w:rsidRDefault="009E4D7D">
      <w:pPr>
        <w:pStyle w:val="1"/>
        <w:ind w:left="0" w:hanging="2"/>
      </w:pPr>
      <w:r>
        <w:t>2 ОПИСАНИЕ ПОКАЗАТЕЛЕЙ И КРИТЕРИЕВ ОЦЕНИВАНИЯ КОМПЕТЕНЦИЙ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E41407" w:rsidRDefault="009E4D7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3" w:hanging="2"/>
        <w:rPr>
          <w:color w:val="000000"/>
          <w:szCs w:val="24"/>
        </w:rPr>
      </w:pPr>
      <w:r>
        <w:rPr>
          <w:color w:val="000000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E41407" w:rsidRDefault="009E4D7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3173"/>
          <w:tab w:val="left" w:pos="4430"/>
          <w:tab w:val="left" w:pos="6545"/>
          <w:tab w:val="left" w:pos="8424"/>
        </w:tabs>
        <w:spacing w:line="240" w:lineRule="auto"/>
        <w:ind w:left="0" w:right="227" w:hanging="2"/>
        <w:rPr>
          <w:color w:val="000000"/>
          <w:szCs w:val="24"/>
        </w:rPr>
      </w:pPr>
      <w:r>
        <w:rPr>
          <w:color w:val="000000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E41407" w:rsidRDefault="009E4D7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2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эталонный уровень хара</w:t>
      </w:r>
      <w:r>
        <w:rPr>
          <w:color w:val="000000"/>
          <w:szCs w:val="24"/>
        </w:rPr>
        <w:t>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2"/>
          <w:szCs w:val="22"/>
        </w:rPr>
      </w:pPr>
    </w:p>
    <w:p w:rsidR="00E41407" w:rsidRDefault="009E4D7D">
      <w:pPr>
        <w:pStyle w:val="1"/>
        <w:spacing w:line="458" w:lineRule="auto"/>
        <w:ind w:left="0" w:right="1134" w:hanging="2"/>
      </w:pPr>
      <w:r>
        <w:t xml:space="preserve">Уровень освоения компетенций, формируемых дисциплиной: 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Описание критериев и шкалы оценивания теоретического вопроса:</w:t>
      </w: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e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E41407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E41407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E41407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E41407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E4140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</w:rPr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color w:val="000000"/>
          <w:sz w:val="19"/>
          <w:szCs w:val="19"/>
        </w:rPr>
      </w:pP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" w:right="224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промежуточную аттестацию (экзамен) выносится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пятибалльной с</w:t>
      </w:r>
      <w:r>
        <w:rPr>
          <w:color w:val="000000"/>
          <w:sz w:val="28"/>
          <w:szCs w:val="28"/>
        </w:rPr>
        <w:t>истеме.</w:t>
      </w: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color w:val="000000"/>
          <w:sz w:val="23"/>
          <w:szCs w:val="23"/>
        </w:rPr>
      </w:pP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«отлично» </w:t>
      </w:r>
      <w:r>
        <w:rPr>
          <w:color w:val="000000"/>
          <w:sz w:val="28"/>
          <w:szCs w:val="28"/>
        </w:rPr>
        <w:t xml:space="preserve">выставляется студенту, который набрал в сумме не менее 5 баллов (один вопрос ответил на эталонном уровне, а на другой вопрос – не ниже продвинутого). Обязательным условием является выполнение всех </w:t>
      </w:r>
      <w:r>
        <w:rPr>
          <w:color w:val="000000"/>
          <w:sz w:val="28"/>
          <w:szCs w:val="28"/>
        </w:rPr>
        <w:lastRenderedPageBreak/>
        <w:t>предусмотренных в течение семестр</w:t>
      </w:r>
      <w:r>
        <w:rPr>
          <w:color w:val="000000"/>
          <w:sz w:val="28"/>
          <w:szCs w:val="28"/>
        </w:rPr>
        <w:t>а практических заданий и сданной курсовой работы.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«хорошо» </w:t>
      </w:r>
      <w:r>
        <w:rPr>
          <w:color w:val="000000"/>
          <w:sz w:val="28"/>
          <w:szCs w:val="28"/>
        </w:rPr>
        <w:t xml:space="preserve">выставляется студенту, который набрал в сумме  4 балла (один вопрос ответил на эталонном уровне, а на другой вопрос – не ниже порогового, либо на оба вопроса ответил на продвинутом уровне). </w:t>
      </w:r>
      <w:r>
        <w:rPr>
          <w:color w:val="000000"/>
          <w:sz w:val="28"/>
          <w:szCs w:val="28"/>
        </w:rPr>
        <w:t>Обязательным условием является выполнение всех предусмотренных в течение семестра практических заданий и сданной курсовой работы.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«удовлетворительно» </w:t>
      </w:r>
      <w:r>
        <w:rPr>
          <w:color w:val="000000"/>
          <w:sz w:val="28"/>
          <w:szCs w:val="28"/>
        </w:rPr>
        <w:t>выставляется студенту, который набрал в сумме  3 балла (один вопрос ответил на эталонном уровне, либо на один вопрос ответил на продвинутом уровне, а на другой вопрос – не ниже порогового). Обязательным условием является выполнение всех предусмотренных в т</w:t>
      </w:r>
      <w:r>
        <w:rPr>
          <w:color w:val="000000"/>
          <w:sz w:val="28"/>
          <w:szCs w:val="28"/>
        </w:rPr>
        <w:t>ечение семестра практических заданий и сданной курсовой работы.</w:t>
      </w: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«неудовлетворительно» </w:t>
      </w:r>
      <w:r>
        <w:rPr>
          <w:color w:val="000000"/>
          <w:sz w:val="28"/>
          <w:szCs w:val="28"/>
        </w:rPr>
        <w:t>выставляется студенту, который набрал в сумме менее 3 баллов, либо имеет к моменту проведения промежуточной аттестации несданные практические работы и/или несданну</w:t>
      </w:r>
      <w:r>
        <w:rPr>
          <w:color w:val="000000"/>
          <w:sz w:val="28"/>
          <w:szCs w:val="28"/>
        </w:rPr>
        <w:t>ю курсовую.</w:t>
      </w:r>
    </w:p>
    <w:p w:rsidR="00E41407" w:rsidRDefault="00E41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E41407" w:rsidRDefault="009E4D7D">
      <w:pPr>
        <w:pStyle w:val="1"/>
        <w:ind w:left="0" w:right="255" w:hanging="2"/>
        <w:jc w:val="center"/>
      </w:pPr>
      <w:r>
        <w:t>3 ПАСПОРТ ОЦЕНОЧНЫХ МАТЕРИАЛОВ ПО ДИСЦИПЛИНЕ</w:t>
      </w:r>
    </w:p>
    <w:p w:rsidR="00E41407" w:rsidRDefault="00E41407">
      <w:pPr>
        <w:pStyle w:val="1"/>
        <w:ind w:left="0" w:right="255" w:hanging="2"/>
        <w:jc w:val="center"/>
      </w:pP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2551"/>
        <w:gridCol w:w="2942"/>
      </w:tblGrid>
      <w:tr w:rsidR="00E41407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8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Вид, метод, форма оценочного мероприятия</w:t>
            </w:r>
          </w:p>
        </w:tc>
      </w:tr>
      <w:tr w:rsidR="00E4140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1. Нормативно-правовое обеспечение разработки и внедрения ИТ-продукта.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E41407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2. Особенности ИТ-продукта как товара.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E4140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3. Организация выполнения этапов разработки и внедрения ИТ-продукта.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E41407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4. Экономические расчеты на этапах разработки и внедрения ИТ-продукта.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E4140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5. Резервы повышения эффективности разработки и внедрения ИТ-продукта.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E4140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Тема 6. Этапы разработки IT-продукта.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E4140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7. Основа для вывода на рынок MVP.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>ПК-1.1, ПК-1.2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</w:tbl>
    <w:p w:rsidR="00E41407" w:rsidRDefault="00E41407">
      <w:pPr>
        <w:pStyle w:val="1"/>
        <w:ind w:left="0" w:right="255" w:hanging="2"/>
        <w:jc w:val="center"/>
      </w:pPr>
    </w:p>
    <w:p w:rsidR="00E41407" w:rsidRDefault="009E4D7D">
      <w:pPr>
        <w:pStyle w:val="1"/>
        <w:numPr>
          <w:ilvl w:val="0"/>
          <w:numId w:val="3"/>
        </w:numPr>
        <w:spacing w:before="90"/>
        <w:ind w:left="0" w:hanging="2"/>
      </w:pPr>
      <w:r>
        <w:t>ТИПОВЫЕ КОНТРОЛЬНЫЕ ЗАДАНИЯ ИЛИ ИНЫЕ МАТЕРИАЛЫ</w:t>
      </w:r>
    </w:p>
    <w:p w:rsidR="00E41407" w:rsidRDefault="009E4D7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Промежуточная аттестация в форме экзамена</w:t>
      </w: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0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7366"/>
      </w:tblGrid>
      <w:tr w:rsidR="00E41407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7" w:rsidRDefault="009E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9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Результаты освоения ОПОП Содержание компетенций</w:t>
            </w:r>
          </w:p>
        </w:tc>
      </w:tr>
      <w:tr w:rsidR="00E41407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07" w:rsidRDefault="009E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Способен проводить технологические исследования, разрабатывать бизнес-планы, управлять бюджетом и патентами на технологии в области ИТ- продуктов</w:t>
            </w:r>
          </w:p>
        </w:tc>
      </w:tr>
    </w:tbl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:rsidR="00E41407" w:rsidRDefault="009E4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Типовые вопросы к экзамену открытого типа:</w:t>
      </w: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Основные понятия и определения в сфере IT-технологий. Предмет IT. Российский IT-рынок. IT-услуга, IT-продукт.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Эволюция IT-услуг и IT-продуктов. IT-сервисы.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Понятия IT-компании, продукта, услуги, проекта. Место IT-бизнеса в ОКВЭД.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Классификация IT-продуктов</w:t>
      </w:r>
      <w:r>
        <w:rPr>
          <w:color w:val="000000"/>
          <w:sz w:val="22"/>
          <w:szCs w:val="22"/>
        </w:rPr>
        <w:t>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Иерархия IT-продуктов.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Сфера применения IT-услуг, продуктов. Участники рынка IT-услуг, продуктов.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Виды IT-услуг, продуктов.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Особенности IT-аутсорсинга. Востребованные и популярные IT-услуги.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Стадия идеи.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Стадия проверки идеи IT-продукта.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SMART-</w:t>
      </w:r>
      <w:r>
        <w:rPr>
          <w:color w:val="000000"/>
          <w:szCs w:val="24"/>
        </w:rPr>
        <w:t xml:space="preserve"> </w:t>
      </w:r>
      <w:r>
        <w:rPr>
          <w:color w:val="000000"/>
          <w:sz w:val="22"/>
          <w:szCs w:val="22"/>
        </w:rPr>
        <w:t>анализ идеи IT–продукта.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Этапы разработки IT-продукта: Карты Mindmap и </w:t>
      </w:r>
      <w:r>
        <w:rPr>
          <w:color w:val="000000"/>
          <w:szCs w:val="24"/>
        </w:rPr>
        <w:t>Impact mapping</w:t>
      </w:r>
      <w:r>
        <w:rPr>
          <w:color w:val="000000"/>
          <w:sz w:val="22"/>
          <w:szCs w:val="22"/>
        </w:rPr>
        <w:t>.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Портрет пользователя.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Карта гипотез о пользователе.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«Проблемные интервью».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Почему не стоит ориентироваться на</w:t>
      </w:r>
      <w:r>
        <w:rPr>
          <w:color w:val="000000"/>
          <w:sz w:val="22"/>
          <w:szCs w:val="22"/>
        </w:rPr>
        <w:t xml:space="preserve"> готовый продукт?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Определение ценности IT-продукта.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Этапы разработки IT-продукта: MVP IT-продукта.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Типовые «ловушки», в которые попадают IT-проекты.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каких случаях проводить исследование рынка не ну</w:t>
      </w:r>
      <w:r>
        <w:rPr>
          <w:color w:val="000000"/>
          <w:sz w:val="22"/>
          <w:szCs w:val="22"/>
        </w:rPr>
        <w:t>жно?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Современные тренды в сфере создания IT-продуктов. Тренды в онлайне. 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Оптимизация затрат и максимизация прибыли.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Техническое задание для IT-продукта.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Структура технического задания IT-продукта.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Бизнес-требования к IT-продукту.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Создани</w:t>
      </w:r>
      <w:r>
        <w:rPr>
          <w:color w:val="000000"/>
          <w:sz w:val="22"/>
          <w:szCs w:val="22"/>
        </w:rPr>
        <w:t>е технического задания для MVP. Чек-лист ТЗ для MVP.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Критерии успешности IT-продукта.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Экономика инфраструктуры в сфере создания IT-продукта. Особенности. 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Рекламные средства продвижения IT-продукта. Примеры.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Типы взаимодействия в различных средствах продвижения IT-продукта.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Области применения («ниша») рекламных средств продвижения IT-продуктов.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Затраты на продвижение IT-продукта.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Временные интервалы от начала продвижения до получения первых результатов.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Потенц</w:t>
      </w:r>
      <w:r>
        <w:rPr>
          <w:color w:val="000000"/>
          <w:sz w:val="22"/>
          <w:szCs w:val="22"/>
        </w:rPr>
        <w:t>иал использования различных средств продвижения IT-продукта.</w:t>
      </w:r>
    </w:p>
    <w:p w:rsidR="00E41407" w:rsidRDefault="009E4D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Анализ конкурентных IT-продуктов. Особенности.</w:t>
      </w:r>
    </w:p>
    <w:p w:rsidR="00E41407" w:rsidRDefault="00E41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sectPr w:rsidR="00E41407">
      <w:footerReference w:type="default" r:id="rId8"/>
      <w:footerReference w:type="first" r:id="rId9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7D" w:rsidRDefault="009E4D7D">
      <w:pPr>
        <w:spacing w:line="240" w:lineRule="auto"/>
        <w:ind w:left="0" w:hanging="2"/>
      </w:pPr>
      <w:r>
        <w:separator/>
      </w:r>
    </w:p>
  </w:endnote>
  <w:endnote w:type="continuationSeparator" w:id="0">
    <w:p w:rsidR="009E4D7D" w:rsidRDefault="009E4D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407" w:rsidRDefault="009E4D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Cs w:val="24"/>
      </w:rPr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41407" w:rsidRDefault="009E4D7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:rsidR="00E41407" w:rsidRDefault="00E41407">
                          <w:pPr>
                            <w:spacing w:line="240" w:lineRule="auto"/>
                            <w:ind w:left="0" w:hanging="2"/>
                          </w:pPr>
                        </w:p>
                        <w:p w:rsidR="00E41407" w:rsidRDefault="00E4140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" cy="288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407" w:rsidRDefault="00E414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7D" w:rsidRDefault="009E4D7D">
      <w:pPr>
        <w:spacing w:line="240" w:lineRule="auto"/>
        <w:ind w:left="0" w:hanging="2"/>
      </w:pPr>
      <w:r>
        <w:separator/>
      </w:r>
    </w:p>
  </w:footnote>
  <w:footnote w:type="continuationSeparator" w:id="0">
    <w:p w:rsidR="009E4D7D" w:rsidRDefault="009E4D7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CF9"/>
    <w:multiLevelType w:val="multilevel"/>
    <w:tmpl w:val="E0001176"/>
    <w:lvl w:ilvl="0">
      <w:start w:val="4"/>
      <w:numFmt w:val="decimal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1" w15:restartNumberingAfterBreak="0">
    <w:nsid w:val="25DF17F3"/>
    <w:multiLevelType w:val="multilevel"/>
    <w:tmpl w:val="0ABABAE4"/>
    <w:lvl w:ilvl="0">
      <w:start w:val="1"/>
      <w:numFmt w:val="decimal"/>
      <w:lvlText w:val="%1."/>
      <w:lvlJc w:val="left"/>
      <w:pPr>
        <w:ind w:left="15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vertAlign w:val="baseline"/>
      </w:rPr>
    </w:lvl>
  </w:abstractNum>
  <w:abstractNum w:abstractNumId="2" w15:restartNumberingAfterBreak="0">
    <w:nsid w:val="298F7B00"/>
    <w:multiLevelType w:val="multilevel"/>
    <w:tmpl w:val="F00C8D24"/>
    <w:lvl w:ilvl="0">
      <w:start w:val="1"/>
      <w:numFmt w:val="decimal"/>
      <w:pStyle w:val="2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3" w15:restartNumberingAfterBreak="0">
    <w:nsid w:val="2C492B61"/>
    <w:multiLevelType w:val="multilevel"/>
    <w:tmpl w:val="BAE6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07"/>
    <w:rsid w:val="00381345"/>
    <w:rsid w:val="009E4D7D"/>
    <w:rsid w:val="00E4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4E321-D0A6-4C43-918A-91E18A19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20"/>
    <w:pPr>
      <w:autoSpaceDE w:val="0"/>
      <w:autoSpaceDN w:val="0"/>
      <w:spacing w:line="1" w:lineRule="atLeast"/>
      <w:ind w:left="781" w:hanging="1"/>
    </w:pPr>
    <w:rPr>
      <w:b/>
      <w:bCs/>
      <w:szCs w:val="24"/>
      <w:lang w:bidi="ru-RU"/>
    </w:rPr>
  </w:style>
  <w:style w:type="paragraph" w:styleId="2">
    <w:name w:val="heading 2"/>
    <w:basedOn w:val="a"/>
    <w:next w:val="a"/>
    <w:pPr>
      <w:keepNext/>
      <w:numPr>
        <w:numId w:val="2"/>
      </w:numPr>
      <w:ind w:left="-1" w:hanging="1"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WW8Num1z0">
    <w:name w:val="WW8Num1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WW8Num4z1">
    <w:name w:val="WW8Num4z1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i w:val="0"/>
      <w:iCs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a">
    <w:name w:val="Подпись к таблице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11">
    <w:name w:val="Основной текст + 11"/>
    <w:rPr>
      <w:rFonts w:ascii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ListLabel12">
    <w:name w:val="ListLabel 1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paragraph" w:styleId="a4">
    <w:name w:val="Body Text"/>
    <w:basedOn w:val="a"/>
    <w:rPr>
      <w:sz w:val="28"/>
    </w:rPr>
  </w:style>
  <w:style w:type="paragraph" w:styleId="ab">
    <w:name w:val="List"/>
    <w:basedOn w:val="a4"/>
  </w:style>
  <w:style w:type="paragraph" w:styleId="ac">
    <w:name w:val="caption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4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16">
    <w:name w:val="Текст1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34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1">
    <w:name w:val="Body Text Indent"/>
    <w:basedOn w:val="a"/>
    <w:pPr>
      <w:spacing w:after="120"/>
      <w:ind w:left="283" w:firstLine="760"/>
    </w:pPr>
  </w:style>
  <w:style w:type="paragraph" w:customStyle="1" w:styleId="af2">
    <w:name w:val="Подпись к таблице"/>
    <w:basedOn w:val="a"/>
    <w:pPr>
      <w:shd w:val="clear" w:color="auto" w:fill="FFFFFF"/>
      <w:spacing w:line="240" w:lineRule="atLeast"/>
      <w:ind w:left="0" w:firstLine="0"/>
    </w:pPr>
    <w:rPr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atLeast"/>
      <w:ind w:left="0" w:hanging="400"/>
    </w:pPr>
    <w:rPr>
      <w:b/>
      <w:bCs/>
      <w:sz w:val="26"/>
      <w:szCs w:val="26"/>
    </w:rPr>
  </w:style>
  <w:style w:type="paragraph" w:styleId="af3">
    <w:name w:val="Normal (Web)"/>
    <w:basedOn w:val="a"/>
    <w:pPr>
      <w:spacing w:before="280" w:after="280" w:line="240" w:lineRule="auto"/>
      <w:ind w:left="0"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pacing w:line="312" w:lineRule="auto"/>
      <w:ind w:leftChars="-1" w:left="-1" w:hangingChars="1" w:firstLine="460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lang w:eastAsia="zh-CN"/>
    </w:rPr>
  </w:style>
  <w:style w:type="character" w:customStyle="1" w:styleId="af5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character" w:customStyle="1" w:styleId="17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f6">
    <w:name w:val="List Paragraph"/>
    <w:basedOn w:val="a"/>
    <w:pPr>
      <w:widowControl w:val="0"/>
      <w:autoSpaceDE w:val="0"/>
      <w:autoSpaceDN w:val="0"/>
      <w:ind w:left="1312" w:hanging="36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8">
    <w:name w:val="annotation text"/>
    <w:basedOn w:val="a"/>
    <w:qFormat/>
    <w:rPr>
      <w:rFonts w:ascii="MS Sans Serif" w:hAnsi="MS Sans Serif"/>
      <w:sz w:val="20"/>
    </w:rPr>
  </w:style>
  <w:style w:type="character" w:customStyle="1" w:styleId="af9">
    <w:name w:val="Текст примечания Знак"/>
    <w:rPr>
      <w:rFonts w:ascii="MS Sans Serif" w:hAnsi="MS Sans Serif"/>
      <w:w w:val="100"/>
      <w:position w:val="-1"/>
      <w:effect w:val="none"/>
      <w:vertAlign w:val="baseline"/>
      <w:cs w:val="0"/>
      <w:em w:val="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Style97">
    <w:name w:val="Style97"/>
    <w:basedOn w:val="a"/>
    <w:pPr>
      <w:widowControl w:val="0"/>
      <w:autoSpaceDE w:val="0"/>
      <w:autoSpaceDN w:val="0"/>
      <w:adjustRightInd w:val="0"/>
      <w:spacing w:line="298" w:lineRule="atLeast"/>
    </w:pPr>
    <w:rPr>
      <w:szCs w:val="24"/>
    </w:rPr>
  </w:style>
  <w:style w:type="character" w:styleId="af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GFFbwFm+PO8iEzgcg3BxB21Pw==">AMUW2mW4pN5dAoYi+bmFBlcx5vpvWZIiNzkH5fpkZThK68QGym0h72x7Iw0rf4/Sp7mb1KGHuXtkR6n6wz2f3Ds3pDIFIuBrU+av5aPWPhR2HJjDa/tbsVE=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mycomp</cp:lastModifiedBy>
  <cp:revision>2</cp:revision>
  <dcterms:created xsi:type="dcterms:W3CDTF">2023-09-11T08:11:00Z</dcterms:created>
  <dcterms:modified xsi:type="dcterms:W3CDTF">2023-09-11T08:11:00Z</dcterms:modified>
</cp:coreProperties>
</file>