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2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Приборостроение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  <w:t>Приборостроение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5"/>
        <w:gridCol w:w="2078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80"/>
        <w:gridCol w:w="1721"/>
        <w:gridCol w:w="5493"/>
      </w:tblGrid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4,4944" path="m4943,4943l0,4943l0,0l4943,0l4943,4943e" fillcolor="white" stroked="f" o:allowincell="f" style="position:absolute;margin-left:-140.25pt;margin-top:-140.25pt;width:140.1pt;height:140.1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LibreOffice/7.4.0.3$Windows_X86_64 LibreOffice_project/f85e47c08ddd19c015c0114a68350214f7066f5a</Application>
  <AppVersion>15.0000</AppVersion>
  <Pages>10</Pages>
  <Words>3225</Words>
  <Characters>23245</Characters>
  <CharactersWithSpaces>26242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2023-09-21T15:54:44Z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