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EF346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EF346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Default="00023C34" w:rsidP="00AA0B8F">
      <w:pPr>
        <w:ind w:firstLine="567"/>
        <w:jc w:val="center"/>
        <w:rPr>
          <w:b/>
          <w:sz w:val="32"/>
          <w:szCs w:val="32"/>
        </w:rPr>
      </w:pPr>
    </w:p>
    <w:p w:rsidR="002C3352" w:rsidRPr="002C3352" w:rsidRDefault="002C3352" w:rsidP="002C3352">
      <w:pPr>
        <w:ind w:firstLine="567"/>
        <w:jc w:val="center"/>
        <w:rPr>
          <w:b/>
          <w:sz w:val="32"/>
          <w:szCs w:val="32"/>
        </w:rPr>
      </w:pPr>
      <w:r w:rsidRPr="002C3352">
        <w:rPr>
          <w:b/>
          <w:sz w:val="32"/>
          <w:szCs w:val="32"/>
        </w:rPr>
        <w:t>Б</w:t>
      </w:r>
      <w:proofErr w:type="gramStart"/>
      <w:r w:rsidRPr="002C3352">
        <w:rPr>
          <w:b/>
          <w:sz w:val="32"/>
          <w:szCs w:val="32"/>
        </w:rPr>
        <w:t>1.О.</w:t>
      </w:r>
      <w:proofErr w:type="gramEnd"/>
      <w:r w:rsidRPr="002C3352">
        <w:rPr>
          <w:b/>
          <w:sz w:val="32"/>
          <w:szCs w:val="32"/>
        </w:rPr>
        <w:t>24 «ЭКОЛОГИЯ»</w:t>
      </w:r>
    </w:p>
    <w:p w:rsidR="002C3352" w:rsidRDefault="002C3352" w:rsidP="002C3352">
      <w:pPr>
        <w:ind w:firstLine="567"/>
        <w:jc w:val="center"/>
        <w:rPr>
          <w:sz w:val="32"/>
          <w:szCs w:val="32"/>
        </w:rPr>
      </w:pPr>
    </w:p>
    <w:p w:rsidR="002C3352" w:rsidRPr="002C3352" w:rsidRDefault="002C3352" w:rsidP="002C3352">
      <w:pPr>
        <w:ind w:firstLine="567"/>
        <w:jc w:val="center"/>
        <w:rPr>
          <w:sz w:val="32"/>
          <w:szCs w:val="32"/>
        </w:rPr>
      </w:pPr>
      <w:r w:rsidRPr="002C3352">
        <w:rPr>
          <w:sz w:val="32"/>
          <w:szCs w:val="32"/>
        </w:rPr>
        <w:t>Специальность</w:t>
      </w:r>
    </w:p>
    <w:p w:rsidR="002C3352" w:rsidRPr="002C3352" w:rsidRDefault="002C3352" w:rsidP="002C3352">
      <w:pPr>
        <w:ind w:firstLine="567"/>
        <w:jc w:val="center"/>
        <w:rPr>
          <w:b/>
          <w:sz w:val="32"/>
          <w:szCs w:val="32"/>
        </w:rPr>
      </w:pPr>
      <w:r w:rsidRPr="002C3352">
        <w:rPr>
          <w:b/>
          <w:sz w:val="32"/>
          <w:szCs w:val="32"/>
        </w:rPr>
        <w:t>24.05.06 «Системы управления летательными аппаратами»</w:t>
      </w:r>
    </w:p>
    <w:p w:rsidR="002C3352" w:rsidRDefault="002C3352" w:rsidP="002C3352">
      <w:pPr>
        <w:ind w:firstLine="567"/>
        <w:jc w:val="center"/>
        <w:rPr>
          <w:b/>
          <w:sz w:val="32"/>
          <w:szCs w:val="32"/>
        </w:rPr>
      </w:pPr>
    </w:p>
    <w:p w:rsidR="002C3352" w:rsidRPr="002C3352" w:rsidRDefault="002C3352" w:rsidP="002C3352">
      <w:pPr>
        <w:ind w:firstLine="567"/>
        <w:jc w:val="center"/>
        <w:rPr>
          <w:sz w:val="32"/>
          <w:szCs w:val="32"/>
        </w:rPr>
      </w:pPr>
      <w:r w:rsidRPr="002C3352">
        <w:rPr>
          <w:sz w:val="32"/>
          <w:szCs w:val="32"/>
        </w:rPr>
        <w:t>Специализация</w:t>
      </w:r>
    </w:p>
    <w:p w:rsidR="002C3352" w:rsidRPr="002C3352" w:rsidRDefault="002C3352" w:rsidP="002C3352">
      <w:pPr>
        <w:ind w:firstLine="567"/>
        <w:jc w:val="center"/>
        <w:rPr>
          <w:b/>
          <w:sz w:val="32"/>
          <w:szCs w:val="32"/>
        </w:rPr>
      </w:pPr>
      <w:r w:rsidRPr="002C3352">
        <w:rPr>
          <w:b/>
          <w:sz w:val="32"/>
          <w:szCs w:val="32"/>
        </w:rPr>
        <w:t>Приборы систем управления летательных аппаратов</w:t>
      </w:r>
    </w:p>
    <w:p w:rsidR="002C3352" w:rsidRDefault="002C3352" w:rsidP="002C3352">
      <w:pPr>
        <w:ind w:firstLine="567"/>
        <w:jc w:val="center"/>
        <w:rPr>
          <w:sz w:val="32"/>
          <w:szCs w:val="32"/>
        </w:rPr>
      </w:pPr>
    </w:p>
    <w:p w:rsidR="002C3352" w:rsidRDefault="002C3352" w:rsidP="002C3352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Уровень высшего образования: </w:t>
      </w:r>
      <w:proofErr w:type="spellStart"/>
      <w:r>
        <w:rPr>
          <w:sz w:val="32"/>
          <w:szCs w:val="32"/>
        </w:rPr>
        <w:t>с</w:t>
      </w:r>
      <w:r w:rsidRPr="002C3352">
        <w:rPr>
          <w:sz w:val="32"/>
          <w:szCs w:val="32"/>
        </w:rPr>
        <w:t>пециалитет</w:t>
      </w:r>
      <w:proofErr w:type="spellEnd"/>
    </w:p>
    <w:p w:rsidR="002C3352" w:rsidRPr="002C3352" w:rsidRDefault="002C3352" w:rsidP="002C3352">
      <w:pPr>
        <w:ind w:firstLine="567"/>
        <w:jc w:val="center"/>
        <w:rPr>
          <w:sz w:val="32"/>
          <w:szCs w:val="32"/>
        </w:rPr>
      </w:pPr>
    </w:p>
    <w:p w:rsidR="002C3352" w:rsidRDefault="002C3352" w:rsidP="002C3352">
      <w:pPr>
        <w:ind w:firstLine="567"/>
        <w:jc w:val="center"/>
        <w:rPr>
          <w:sz w:val="32"/>
          <w:szCs w:val="32"/>
        </w:rPr>
      </w:pPr>
      <w:r w:rsidRPr="002C3352">
        <w:rPr>
          <w:sz w:val="32"/>
          <w:szCs w:val="32"/>
        </w:rPr>
        <w:t>Квалификация выпускника – инженер</w:t>
      </w:r>
    </w:p>
    <w:p w:rsidR="002C3352" w:rsidRPr="002C3352" w:rsidRDefault="002C3352" w:rsidP="002C3352">
      <w:pPr>
        <w:ind w:firstLine="567"/>
        <w:jc w:val="center"/>
        <w:rPr>
          <w:sz w:val="32"/>
          <w:szCs w:val="32"/>
        </w:rPr>
      </w:pPr>
    </w:p>
    <w:p w:rsidR="00EF3464" w:rsidRPr="002C3352" w:rsidRDefault="002C3352" w:rsidP="002C3352">
      <w:pPr>
        <w:ind w:firstLine="567"/>
        <w:jc w:val="center"/>
        <w:rPr>
          <w:sz w:val="32"/>
          <w:szCs w:val="32"/>
        </w:rPr>
      </w:pPr>
      <w:r w:rsidRPr="002C3352">
        <w:rPr>
          <w:sz w:val="32"/>
          <w:szCs w:val="32"/>
        </w:rPr>
        <w:t>Форма обучения –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2C3352" w:rsidRDefault="002C3352" w:rsidP="00AA0B8F">
      <w:pPr>
        <w:ind w:firstLine="567"/>
        <w:jc w:val="center"/>
        <w:rPr>
          <w:sz w:val="28"/>
          <w:szCs w:val="28"/>
        </w:rPr>
      </w:pPr>
    </w:p>
    <w:p w:rsidR="002C3352" w:rsidRDefault="002C3352" w:rsidP="00AA0B8F">
      <w:pPr>
        <w:ind w:firstLine="567"/>
        <w:jc w:val="center"/>
        <w:rPr>
          <w:sz w:val="28"/>
          <w:szCs w:val="28"/>
        </w:rPr>
      </w:pPr>
    </w:p>
    <w:p w:rsidR="002C3352" w:rsidRDefault="002C3352" w:rsidP="00AA0B8F">
      <w:pPr>
        <w:ind w:firstLine="567"/>
        <w:jc w:val="center"/>
        <w:rPr>
          <w:sz w:val="28"/>
          <w:szCs w:val="28"/>
        </w:rPr>
      </w:pPr>
    </w:p>
    <w:p w:rsidR="002C3352" w:rsidRDefault="002C3352" w:rsidP="00AA0B8F">
      <w:pPr>
        <w:ind w:firstLine="567"/>
        <w:jc w:val="center"/>
        <w:rPr>
          <w:sz w:val="28"/>
          <w:szCs w:val="28"/>
        </w:rPr>
      </w:pPr>
    </w:p>
    <w:p w:rsidR="002C3352" w:rsidRDefault="002C3352" w:rsidP="00AA0B8F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023C34" w:rsidRPr="00043D6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2C3352">
        <w:rPr>
          <w:sz w:val="28"/>
          <w:szCs w:val="28"/>
        </w:rPr>
        <w:t>2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lastRenderedPageBreak/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lastRenderedPageBreak/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9B7D65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F7BB7">
          <w:rPr>
            <w:noProof/>
          </w:rPr>
          <w:t>5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9B7D65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F7BB7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3D6F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352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4F7BB7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1876"/>
    <w:rsid w:val="00676D24"/>
    <w:rsid w:val="00681181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9B7D65"/>
    <w:rsid w:val="00A440B6"/>
    <w:rsid w:val="00A529FC"/>
    <w:rsid w:val="00A52A0A"/>
    <w:rsid w:val="00A72027"/>
    <w:rsid w:val="00A82AF0"/>
    <w:rsid w:val="00A93691"/>
    <w:rsid w:val="00A97130"/>
    <w:rsid w:val="00AA0B8F"/>
    <w:rsid w:val="00AC3FCD"/>
    <w:rsid w:val="00AE06C3"/>
    <w:rsid w:val="00AF4863"/>
    <w:rsid w:val="00B10FF9"/>
    <w:rsid w:val="00B5007A"/>
    <w:rsid w:val="00B737CF"/>
    <w:rsid w:val="00BC1C89"/>
    <w:rsid w:val="00BF79A5"/>
    <w:rsid w:val="00C223D6"/>
    <w:rsid w:val="00C47864"/>
    <w:rsid w:val="00C76FC9"/>
    <w:rsid w:val="00C84529"/>
    <w:rsid w:val="00C8502F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208"/>
    <w:rsid w:val="00E23854"/>
    <w:rsid w:val="00E30236"/>
    <w:rsid w:val="00E45D5E"/>
    <w:rsid w:val="00E73AF6"/>
    <w:rsid w:val="00E96AB5"/>
    <w:rsid w:val="00EE3AEF"/>
    <w:rsid w:val="00EF3464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1477E8E3"/>
  <w15:docId w15:val="{EF03C659-07AB-4BC5-A602-26840075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Kaf.BJDiE</cp:lastModifiedBy>
  <cp:revision>5</cp:revision>
  <dcterms:created xsi:type="dcterms:W3CDTF">2023-09-14T14:25:00Z</dcterms:created>
  <dcterms:modified xsi:type="dcterms:W3CDTF">2023-09-14T14:31:00Z</dcterms:modified>
</cp:coreProperties>
</file>