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6B" w:rsidRDefault="00EA47E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E00A6B" w:rsidRDefault="00E00A6B">
      <w:pPr>
        <w:ind w:firstLine="567"/>
        <w:jc w:val="center"/>
        <w:rPr>
          <w:b/>
          <w:sz w:val="28"/>
          <w:szCs w:val="28"/>
        </w:rPr>
      </w:pPr>
    </w:p>
    <w:p w:rsidR="00E00A6B" w:rsidRDefault="00EA47E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E00A6B" w:rsidRDefault="00E00A6B">
      <w:pPr>
        <w:ind w:firstLine="567"/>
        <w:jc w:val="center"/>
        <w:rPr>
          <w:b/>
          <w:sz w:val="28"/>
          <w:szCs w:val="28"/>
        </w:rPr>
      </w:pPr>
    </w:p>
    <w:p w:rsidR="00E00A6B" w:rsidRDefault="00EA47E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E00A6B" w:rsidRDefault="00E00A6B">
      <w:pPr>
        <w:ind w:firstLine="567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16"/>
          <w:szCs w:val="16"/>
        </w:rPr>
      </w:pPr>
    </w:p>
    <w:p w:rsidR="00E00A6B" w:rsidRDefault="00E00A6B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0A6B" w:rsidRDefault="00E00A6B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0A6B" w:rsidRDefault="00E00A6B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0A6B" w:rsidRDefault="00E00A6B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0A6B" w:rsidRDefault="00EA47ED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ОЦЕНОЧНЫЕ МАТЕРИАЛЫ ДИСЦИПЛИНЫ</w:t>
      </w:r>
    </w:p>
    <w:p w:rsidR="00E00A6B" w:rsidRDefault="00E00A6B">
      <w:pPr>
        <w:ind w:firstLine="567"/>
        <w:jc w:val="center"/>
        <w:rPr>
          <w:sz w:val="28"/>
          <w:szCs w:val="28"/>
        </w:rPr>
      </w:pPr>
    </w:p>
    <w:p w:rsidR="00E00A6B" w:rsidRDefault="00EA47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40"/>
          <w:szCs w:val="40"/>
        </w:rPr>
        <w:t>Б</w:t>
      </w:r>
      <w:proofErr w:type="gramStart"/>
      <w:r>
        <w:rPr>
          <w:b/>
          <w:i/>
          <w:color w:val="000000"/>
          <w:sz w:val="40"/>
          <w:szCs w:val="40"/>
        </w:rPr>
        <w:t>1</w:t>
      </w:r>
      <w:proofErr w:type="gramEnd"/>
      <w:r>
        <w:rPr>
          <w:b/>
          <w:i/>
          <w:color w:val="000000"/>
          <w:sz w:val="40"/>
          <w:szCs w:val="40"/>
        </w:rPr>
        <w:t>.В.ДВ.04.01</w:t>
      </w:r>
      <w:r>
        <w:rPr>
          <w:rFonts w:ascii="Arial" w:eastAsia="Arial" w:hAnsi="Arial" w:cs="Arial"/>
          <w:b/>
          <w:i/>
          <w:color w:val="000000"/>
          <w:sz w:val="40"/>
          <w:szCs w:val="40"/>
        </w:rPr>
        <w:t xml:space="preserve"> </w:t>
      </w:r>
      <w:r>
        <w:rPr>
          <w:b/>
          <w:i/>
          <w:color w:val="000000"/>
          <w:sz w:val="40"/>
          <w:szCs w:val="40"/>
        </w:rPr>
        <w:t>Телеметрия</w:t>
      </w: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E00A6B">
      <w:pPr>
        <w:ind w:firstLine="0"/>
        <w:rPr>
          <w:sz w:val="28"/>
          <w:szCs w:val="28"/>
        </w:rPr>
      </w:pPr>
    </w:p>
    <w:p w:rsidR="00E00A6B" w:rsidRDefault="00E00A6B">
      <w:pPr>
        <w:ind w:firstLine="0"/>
        <w:rPr>
          <w:sz w:val="28"/>
          <w:szCs w:val="28"/>
        </w:rPr>
      </w:pPr>
    </w:p>
    <w:p w:rsidR="00E00A6B" w:rsidRDefault="00E00A6B">
      <w:pPr>
        <w:ind w:firstLine="0"/>
        <w:jc w:val="center"/>
        <w:rPr>
          <w:sz w:val="28"/>
          <w:szCs w:val="28"/>
        </w:rPr>
      </w:pPr>
    </w:p>
    <w:p w:rsidR="00E00A6B" w:rsidRDefault="0054562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EA47ED">
        <w:rPr>
          <w:sz w:val="28"/>
          <w:szCs w:val="28"/>
        </w:rPr>
        <w:t xml:space="preserve"> г.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br w:type="page"/>
      </w:r>
      <w:r>
        <w:rPr>
          <w:b/>
          <w:i/>
          <w:color w:val="000000"/>
          <w:sz w:val="28"/>
          <w:szCs w:val="28"/>
          <w:highlight w:val="white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обучающимися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данной дисциплины как части основной профессиональной образовательной программы</w:t>
      </w:r>
      <w:r>
        <w:rPr>
          <w:b/>
          <w:i/>
          <w:color w:val="000000"/>
          <w:sz w:val="28"/>
          <w:szCs w:val="28"/>
          <w:highlight w:val="white"/>
        </w:rPr>
        <w:t>.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Цель – оценить соответствие знаний, умений и уровня приобретенных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компетенций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Основная задача – обеспечить оценку уровня </w:t>
      </w:r>
      <w:proofErr w:type="spellStart"/>
      <w:r>
        <w:rPr>
          <w:b/>
          <w:i/>
          <w:color w:val="000000"/>
          <w:sz w:val="28"/>
          <w:szCs w:val="28"/>
          <w:highlight w:val="white"/>
        </w:rPr>
        <w:t>сформированности</w:t>
      </w:r>
      <w:proofErr w:type="spellEnd"/>
      <w:r>
        <w:rPr>
          <w:b/>
          <w:i/>
          <w:color w:val="000000"/>
          <w:sz w:val="28"/>
          <w:szCs w:val="28"/>
          <w:highlight w:val="white"/>
        </w:rPr>
        <w:t xml:space="preserve"> общекультурных, </w:t>
      </w:r>
      <w:proofErr w:type="spellStart"/>
      <w:r>
        <w:rPr>
          <w:b/>
          <w:i/>
          <w:color w:val="000000"/>
          <w:sz w:val="28"/>
          <w:szCs w:val="28"/>
          <w:highlight w:val="white"/>
        </w:rPr>
        <w:t>общепрофессиональных</w:t>
      </w:r>
      <w:proofErr w:type="spellEnd"/>
      <w:r>
        <w:rPr>
          <w:b/>
          <w:i/>
          <w:color w:val="000000"/>
          <w:sz w:val="28"/>
          <w:szCs w:val="28"/>
          <w:highlight w:val="white"/>
        </w:rPr>
        <w:t xml:space="preserve"> и профессиональных компетенций, приобретаемых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обучающимся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в соответствии с этими требованиями.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Контроль знаний проводится в форме текущего контроля и промежуточной аттестации.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</w:t>
      </w:r>
      <w:r>
        <w:rPr>
          <w:b/>
          <w:i/>
          <w:color w:val="000000"/>
          <w:sz w:val="28"/>
          <w:szCs w:val="28"/>
          <w:highlight w:val="white"/>
        </w:rPr>
        <w:t>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К контролю текущей успеваемости относятся проверка знаний, умений и </w:t>
      </w:r>
      <w:r>
        <w:rPr>
          <w:b/>
          <w:i/>
          <w:color w:val="000000"/>
          <w:sz w:val="28"/>
          <w:szCs w:val="28"/>
          <w:highlight w:val="white"/>
        </w:rPr>
        <w:t xml:space="preserve">навыков, приобретенных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обучающимися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</w:t>
      </w:r>
      <w:r>
        <w:rPr>
          <w:b/>
          <w:i/>
          <w:color w:val="000000"/>
          <w:sz w:val="28"/>
          <w:szCs w:val="28"/>
          <w:highlight w:val="white"/>
        </w:rPr>
        <w:t xml:space="preserve">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Результат выполнения каждого индивидуального задания должен соответствовать всем критериям оценки в соответствии с компетен</w:t>
      </w:r>
      <w:r>
        <w:rPr>
          <w:b/>
          <w:i/>
          <w:color w:val="000000"/>
          <w:sz w:val="28"/>
          <w:szCs w:val="28"/>
          <w:highlight w:val="white"/>
        </w:rPr>
        <w:t>циями, установленными для заданного раздела дисциплины.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Промежуточный контроль по дисциплине осуществляется проведением экзамена. </w:t>
      </w: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Форма проведения экзамена – письменный ответ по утвержденным экзаменационным билетам, сформулированным с учетом содержания уч</w:t>
      </w:r>
      <w:r>
        <w:rPr>
          <w:b/>
          <w:i/>
          <w:color w:val="000000"/>
          <w:sz w:val="28"/>
          <w:szCs w:val="28"/>
          <w:highlight w:val="white"/>
        </w:rPr>
        <w:t xml:space="preserve">ебной дисциплины.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E00A6B" w:rsidRDefault="00E0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Паспорт оценочных материалов по дисциплине</w:t>
      </w:r>
    </w:p>
    <w:p w:rsidR="00E00A6B" w:rsidRDefault="00E00A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d"/>
        <w:tblW w:w="9364" w:type="dxa"/>
        <w:tblInd w:w="0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E00A6B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A47ED">
            <w:pPr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A4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E00A6B" w:rsidRDefault="00EA47ED">
            <w:pPr>
              <w:pStyle w:val="2"/>
              <w:keepLines w:val="0"/>
              <w:widowControl/>
              <w:tabs>
                <w:tab w:val="center" w:pos="1805"/>
                <w:tab w:val="left" w:pos="2655"/>
              </w:tabs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A4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B" w:rsidRDefault="00EA47E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00A6B">
        <w:trPr>
          <w:trHeight w:val="29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B" w:rsidRDefault="00E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00A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0A6B">
        <w:trPr>
          <w:trHeight w:val="1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телеметрию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E00A6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E00A6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Модуляция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E00A6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Немодулированная передача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E00A6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Цифровая модуляция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E00A6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6B" w:rsidRDefault="00EA47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Экзамен</w:t>
            </w:r>
          </w:p>
        </w:tc>
      </w:tr>
    </w:tbl>
    <w:p w:rsidR="00E00A6B" w:rsidRDefault="00E00A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E00A6B" w:rsidRDefault="00EA47ED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E00A6B" w:rsidRDefault="00E00A6B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E00A6B" w:rsidRDefault="00EA47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E00A6B" w:rsidRDefault="00EA47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E00A6B" w:rsidRDefault="00EA47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E00A6B" w:rsidRDefault="00EA47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4). Качество ответа (его общая композиция, </w:t>
      </w:r>
      <w:r>
        <w:rPr>
          <w:color w:val="000000"/>
          <w:sz w:val="28"/>
          <w:szCs w:val="28"/>
        </w:rPr>
        <w:t>логичность, убежденность, общая эрудиция)</w:t>
      </w:r>
    </w:p>
    <w:p w:rsidR="00E00A6B" w:rsidRDefault="00EA47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b/>
          <w:i/>
          <w:color w:val="000000"/>
          <w:sz w:val="28"/>
          <w:szCs w:val="28"/>
          <w:highlight w:val="white"/>
        </w:rPr>
      </w:pPr>
    </w:p>
    <w:p w:rsidR="00E00A6B" w:rsidRDefault="00EA47ED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освоения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знаний, умений и навыков по дисциплине оценивается в форме бальной отметки:</w:t>
      </w:r>
    </w:p>
    <w:p w:rsidR="00E00A6B" w:rsidRDefault="00EA47ED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«Отлично» </w:t>
      </w:r>
      <w:r>
        <w:rPr>
          <w:color w:val="000000"/>
          <w:sz w:val="28"/>
          <w:szCs w:val="28"/>
        </w:rPr>
        <w:t>заслуживает студент, обна</w:t>
      </w:r>
      <w:r>
        <w:rPr>
          <w:color w:val="000000"/>
          <w:sz w:val="28"/>
          <w:szCs w:val="28"/>
        </w:rPr>
        <w:t xml:space="preserve">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</w:rPr>
        <w:lastRenderedPageBreak/>
        <w:t>основную</w:t>
      </w:r>
      <w:proofErr w:type="gramEnd"/>
      <w:r>
        <w:rPr>
          <w:color w:val="000000"/>
          <w:sz w:val="28"/>
          <w:szCs w:val="28"/>
        </w:rPr>
        <w:t xml:space="preserve"> и знакомый с дополнительной литературой, рекомендованной программой. Как правило, оцен</w:t>
      </w:r>
      <w:r>
        <w:rPr>
          <w:color w:val="000000"/>
          <w:sz w:val="28"/>
          <w:szCs w:val="28"/>
        </w:rPr>
        <w:t>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E00A6B" w:rsidRDefault="00EA47ED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«Хорошо» </w:t>
      </w:r>
      <w:r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</w:t>
      </w:r>
      <w:r>
        <w:rPr>
          <w:color w:val="000000"/>
          <w:sz w:val="28"/>
          <w:szCs w:val="28"/>
        </w:rPr>
        <w:t>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00A6B" w:rsidRDefault="00EA47ED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«Удовлетворительно» </w:t>
      </w:r>
      <w:r>
        <w:rPr>
          <w:color w:val="000000"/>
          <w:sz w:val="28"/>
          <w:szCs w:val="28"/>
        </w:rPr>
        <w:t>заслуживает студент, обнаруживший знания основного учебно-прог</w:t>
      </w:r>
      <w:r>
        <w:rPr>
          <w:color w:val="000000"/>
          <w:sz w:val="28"/>
          <w:szCs w:val="28"/>
        </w:rPr>
        <w:t>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</w:t>
      </w:r>
      <w:r>
        <w:rPr>
          <w:color w:val="000000"/>
          <w:sz w:val="28"/>
          <w:szCs w:val="28"/>
        </w:rPr>
        <w:t>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00A6B" w:rsidRDefault="00EA47ED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«Неудовлетворительно» </w:t>
      </w:r>
      <w:r>
        <w:rPr>
          <w:color w:val="000000"/>
          <w:sz w:val="28"/>
          <w:szCs w:val="28"/>
        </w:rPr>
        <w:t>выставляется студенту, обн</w:t>
      </w:r>
      <w:r>
        <w:rPr>
          <w:color w:val="000000"/>
          <w:sz w:val="28"/>
          <w:szCs w:val="28"/>
        </w:rPr>
        <w:t>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</w:t>
      </w:r>
      <w:r>
        <w:rPr>
          <w:color w:val="000000"/>
          <w:sz w:val="28"/>
          <w:szCs w:val="28"/>
        </w:rPr>
        <w:t xml:space="preserve"> приступить к профессиональной деятельности по окончании вуза без дополнительных занятий по соответствующей дисциплине.</w:t>
      </w: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E00A6B" w:rsidRDefault="00E0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E00A6B" w:rsidRDefault="00EA47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Типовые контрольные задания или иные материалы</w:t>
      </w:r>
    </w:p>
    <w:p w:rsidR="00E00A6B" w:rsidRDefault="00E00A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E00A6B" w:rsidRDefault="00EA47E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</w:t>
      </w:r>
    </w:p>
    <w:p w:rsidR="00E00A6B" w:rsidRDefault="00E00A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E00A6B" w:rsidRDefault="00EA4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телеметрии. Область применения. </w:t>
      </w:r>
      <w:proofErr w:type="spellStart"/>
      <w:r>
        <w:rPr>
          <w:color w:val="000000"/>
          <w:sz w:val="28"/>
          <w:szCs w:val="28"/>
        </w:rPr>
        <w:t>Телеметрируемые</w:t>
      </w:r>
      <w:proofErr w:type="spellEnd"/>
      <w:r>
        <w:rPr>
          <w:color w:val="000000"/>
          <w:sz w:val="28"/>
          <w:szCs w:val="28"/>
        </w:rPr>
        <w:t xml:space="preserve"> параметры (функциональные и сигнальные). Информационн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телеметрический комплекс. Групповой телеметрический сигнал. Временное и частотное разделение каналов. Информационн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телеметрическая система (ИТ</w:t>
      </w:r>
      <w:r>
        <w:rPr>
          <w:color w:val="000000"/>
          <w:sz w:val="28"/>
          <w:szCs w:val="28"/>
        </w:rPr>
        <w:t>С). Классификация ИТС. Каналы и линии передачи телеметрической информации. Проводные линии связи. Оптоволоконные линии связи. Радиосвязь.</w:t>
      </w:r>
    </w:p>
    <w:p w:rsidR="00E00A6B" w:rsidRDefault="00EA4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Тепловой шум. Дробовый шум. </w:t>
      </w:r>
      <w:proofErr w:type="spellStart"/>
      <w:r>
        <w:rPr>
          <w:color w:val="000000"/>
          <w:sz w:val="28"/>
          <w:szCs w:val="28"/>
        </w:rPr>
        <w:t>Фликер-шум</w:t>
      </w:r>
      <w:proofErr w:type="spellEnd"/>
      <w:r>
        <w:rPr>
          <w:color w:val="000000"/>
          <w:sz w:val="28"/>
          <w:szCs w:val="28"/>
        </w:rPr>
        <w:t>. Эквивалентная шумовая мощность. Эффективная шумовая температура. Отношение сиг</w:t>
      </w:r>
      <w:r>
        <w:rPr>
          <w:color w:val="000000"/>
          <w:sz w:val="28"/>
          <w:szCs w:val="28"/>
        </w:rPr>
        <w:t xml:space="preserve">нал/шум. Коэффициент шума. Формула де </w:t>
      </w:r>
      <w:proofErr w:type="spellStart"/>
      <w:r>
        <w:rPr>
          <w:color w:val="000000"/>
          <w:sz w:val="28"/>
          <w:szCs w:val="28"/>
        </w:rPr>
        <w:t>Фрииса</w:t>
      </w:r>
      <w:proofErr w:type="spellEnd"/>
      <w:r>
        <w:rPr>
          <w:color w:val="000000"/>
          <w:sz w:val="28"/>
          <w:szCs w:val="28"/>
        </w:rPr>
        <w:t>.</w:t>
      </w:r>
    </w:p>
    <w:p w:rsidR="00E00A6B" w:rsidRDefault="00EA4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Понятие модуляции. Гармонические модулированные колебания. Амплитудная модуляция (АМ). </w:t>
      </w:r>
      <w:proofErr w:type="spellStart"/>
      <w:r>
        <w:rPr>
          <w:color w:val="000000"/>
          <w:sz w:val="28"/>
          <w:szCs w:val="28"/>
        </w:rPr>
        <w:t>Однотональная</w:t>
      </w:r>
      <w:proofErr w:type="spellEnd"/>
      <w:r>
        <w:rPr>
          <w:color w:val="000000"/>
          <w:sz w:val="28"/>
          <w:szCs w:val="28"/>
        </w:rPr>
        <w:t xml:space="preserve"> АМ. </w:t>
      </w:r>
      <w:proofErr w:type="spellStart"/>
      <w:r>
        <w:rPr>
          <w:color w:val="000000"/>
          <w:sz w:val="28"/>
          <w:szCs w:val="28"/>
        </w:rPr>
        <w:t>Многотональная</w:t>
      </w:r>
      <w:proofErr w:type="spellEnd"/>
      <w:r>
        <w:rPr>
          <w:color w:val="000000"/>
          <w:sz w:val="28"/>
          <w:szCs w:val="28"/>
        </w:rPr>
        <w:t xml:space="preserve"> АМ. АМ с подавленной несущей (балансная АМ). Однополосная АМ. Анализ узкополосных сигналов</w:t>
      </w:r>
      <w:r>
        <w:rPr>
          <w:color w:val="000000"/>
          <w:sz w:val="28"/>
          <w:szCs w:val="28"/>
        </w:rPr>
        <w:t xml:space="preserve">. Комплексная огибающая. Амплитудная огибающая. Фазовая функция. Преобразование Гильберта. Спектр аналитического сигнала. Полярная АМ. Аппаратные реализации АМ. Угловая модуляция (УМ). Фазовая модуляция. Частотная модуляция. Спектр сигнала с </w:t>
      </w:r>
      <w:proofErr w:type="gramStart"/>
      <w:r>
        <w:rPr>
          <w:color w:val="000000"/>
          <w:sz w:val="28"/>
          <w:szCs w:val="28"/>
        </w:rPr>
        <w:t>гармонической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УМ. Модуляция/демодуляция </w:t>
      </w:r>
      <w:proofErr w:type="spellStart"/>
      <w:r>
        <w:rPr>
          <w:color w:val="000000"/>
          <w:sz w:val="28"/>
          <w:szCs w:val="28"/>
        </w:rPr>
        <w:t>ЧМ-сигналов</w:t>
      </w:r>
      <w:proofErr w:type="spellEnd"/>
      <w:r>
        <w:rPr>
          <w:color w:val="000000"/>
          <w:sz w:val="28"/>
          <w:szCs w:val="28"/>
        </w:rPr>
        <w:t xml:space="preserve">. Квадратурная модуляция. Импульсно-кодовая модуляция (ИКМ). Сравнение ИКМ, АМ, ЧМ и ФМ. </w:t>
      </w:r>
      <w:proofErr w:type="spellStart"/>
      <w:proofErr w:type="gramStart"/>
      <w:r>
        <w:rPr>
          <w:color w:val="000000"/>
          <w:sz w:val="28"/>
          <w:szCs w:val="28"/>
        </w:rPr>
        <w:t>Амплитудно</w:t>
      </w:r>
      <w:proofErr w:type="spellEnd"/>
      <w:r>
        <w:rPr>
          <w:color w:val="000000"/>
          <w:sz w:val="28"/>
          <w:szCs w:val="28"/>
        </w:rPr>
        <w:t>- импульсная</w:t>
      </w:r>
      <w:proofErr w:type="gramEnd"/>
      <w:r>
        <w:rPr>
          <w:color w:val="000000"/>
          <w:sz w:val="28"/>
          <w:szCs w:val="28"/>
        </w:rPr>
        <w:t xml:space="preserve"> модуляция. Широтно-импульсная модуляция. Временная импульсная модуляция. Мультиплексирование с разделением </w:t>
      </w:r>
      <w:r>
        <w:rPr>
          <w:color w:val="000000"/>
          <w:sz w:val="28"/>
          <w:szCs w:val="28"/>
        </w:rPr>
        <w:t>по частоте и по времени на примере системы сотовой связи стандарта GSM.</w:t>
      </w:r>
    </w:p>
    <w:p w:rsidR="00E00A6B" w:rsidRDefault="00EA4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немодулированной передачи. Межсимвольные помехи. Глазковая диаграмма. Частота появления ошибочных битов. Многоуровневые сигналы при немодулированной цифровой передаче. Емкость </w:t>
      </w:r>
      <w:r>
        <w:rPr>
          <w:color w:val="000000"/>
          <w:sz w:val="28"/>
          <w:szCs w:val="28"/>
        </w:rPr>
        <w:t>канала связи.</w:t>
      </w:r>
    </w:p>
    <w:p w:rsidR="00E00A6B" w:rsidRDefault="00EA4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цифровой модуляции. Амплитудная манипуляция (</w:t>
      </w:r>
      <w:proofErr w:type="spellStart"/>
      <w:r>
        <w:rPr>
          <w:color w:val="000000"/>
          <w:sz w:val="28"/>
          <w:szCs w:val="28"/>
        </w:rPr>
        <w:t>АМн</w:t>
      </w:r>
      <w:proofErr w:type="spellEnd"/>
      <w:r>
        <w:rPr>
          <w:color w:val="000000"/>
          <w:sz w:val="28"/>
          <w:szCs w:val="28"/>
        </w:rPr>
        <w:t>). Фазовая манипуляция (</w:t>
      </w:r>
      <w:proofErr w:type="spellStart"/>
      <w:r>
        <w:rPr>
          <w:color w:val="000000"/>
          <w:sz w:val="28"/>
          <w:szCs w:val="28"/>
        </w:rPr>
        <w:t>ФМн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Скрамблер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Дескрамблер</w:t>
      </w:r>
      <w:proofErr w:type="spellEnd"/>
      <w:r>
        <w:rPr>
          <w:color w:val="000000"/>
          <w:sz w:val="28"/>
          <w:szCs w:val="28"/>
        </w:rPr>
        <w:t>. Частотная манипуляция (</w:t>
      </w:r>
      <w:proofErr w:type="spellStart"/>
      <w:r>
        <w:rPr>
          <w:color w:val="000000"/>
          <w:sz w:val="28"/>
          <w:szCs w:val="28"/>
        </w:rPr>
        <w:t>ЧМн</w:t>
      </w:r>
      <w:proofErr w:type="spellEnd"/>
      <w:r>
        <w:rPr>
          <w:color w:val="000000"/>
          <w:sz w:val="28"/>
          <w:szCs w:val="28"/>
        </w:rPr>
        <w:t>). Квадратурная манипуляция (</w:t>
      </w:r>
      <w:proofErr w:type="spellStart"/>
      <w:r>
        <w:rPr>
          <w:color w:val="000000"/>
          <w:sz w:val="28"/>
          <w:szCs w:val="28"/>
        </w:rPr>
        <w:t>КМн</w:t>
      </w:r>
      <w:proofErr w:type="spellEnd"/>
      <w:r>
        <w:rPr>
          <w:color w:val="000000"/>
          <w:sz w:val="28"/>
          <w:szCs w:val="28"/>
        </w:rPr>
        <w:t xml:space="preserve">). Фильтр нижних частот с </w:t>
      </w:r>
      <w:proofErr w:type="spellStart"/>
      <w:r>
        <w:rPr>
          <w:color w:val="000000"/>
          <w:sz w:val="28"/>
          <w:szCs w:val="28"/>
        </w:rPr>
        <w:t>косинусоидальным</w:t>
      </w:r>
      <w:proofErr w:type="spellEnd"/>
      <w:r>
        <w:rPr>
          <w:color w:val="000000"/>
          <w:sz w:val="28"/>
          <w:szCs w:val="28"/>
        </w:rPr>
        <w:t xml:space="preserve"> сглаживанием в качестве эквалай</w:t>
      </w:r>
      <w:r>
        <w:rPr>
          <w:color w:val="000000"/>
          <w:sz w:val="28"/>
          <w:szCs w:val="28"/>
        </w:rPr>
        <w:t xml:space="preserve">зера. Выравнивание частотной характеристики канала связи с помощью адаптивного фильтра. </w:t>
      </w:r>
      <w:proofErr w:type="spellStart"/>
      <w:r>
        <w:rPr>
          <w:color w:val="000000"/>
          <w:sz w:val="28"/>
          <w:szCs w:val="28"/>
        </w:rPr>
        <w:t>Эхоподавление</w:t>
      </w:r>
      <w:proofErr w:type="spellEnd"/>
      <w:r>
        <w:rPr>
          <w:color w:val="000000"/>
          <w:sz w:val="28"/>
          <w:szCs w:val="28"/>
        </w:rPr>
        <w:t xml:space="preserve"> с помощью адаптивного фильтра.</w:t>
      </w:r>
    </w:p>
    <w:p w:rsidR="00E00A6B" w:rsidRDefault="00EA4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HART-протокол. MODBUS (стандартный клиент). Полу/полнодуплексная передача. Дифференциальный и абсолютный сигнал. Асинхронна</w:t>
      </w:r>
      <w:r>
        <w:rPr>
          <w:color w:val="000000"/>
          <w:sz w:val="28"/>
          <w:szCs w:val="28"/>
        </w:rPr>
        <w:t xml:space="preserve">я/синхронная передача. USART. SPI. I2C. RS485. RS232. RS422. USB. </w:t>
      </w:r>
      <w:proofErr w:type="spellStart"/>
      <w:r>
        <w:rPr>
          <w:color w:val="000000"/>
          <w:sz w:val="28"/>
          <w:szCs w:val="28"/>
        </w:rPr>
        <w:t>Ethernet</w:t>
      </w:r>
      <w:proofErr w:type="spellEnd"/>
      <w:r>
        <w:rPr>
          <w:color w:val="000000"/>
          <w:sz w:val="28"/>
          <w:szCs w:val="28"/>
        </w:rPr>
        <w:t>.</w:t>
      </w:r>
    </w:p>
    <w:sectPr w:rsidR="00E00A6B" w:rsidSect="00E00A6B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ED" w:rsidRDefault="00EA47ED" w:rsidP="00E00A6B">
      <w:pPr>
        <w:spacing w:line="240" w:lineRule="auto"/>
      </w:pPr>
      <w:r>
        <w:separator/>
      </w:r>
    </w:p>
  </w:endnote>
  <w:endnote w:type="continuationSeparator" w:id="0">
    <w:p w:rsidR="00EA47ED" w:rsidRDefault="00EA47ED" w:rsidP="00E00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6B" w:rsidRDefault="00E0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A47ED">
      <w:rPr>
        <w:color w:val="000000"/>
      </w:rPr>
      <w:instrText>PAGE</w:instrText>
    </w:r>
    <w:r w:rsidR="00545627">
      <w:rPr>
        <w:color w:val="000000"/>
      </w:rPr>
      <w:fldChar w:fldCharType="separate"/>
    </w:r>
    <w:r w:rsidR="00545627">
      <w:rPr>
        <w:noProof/>
        <w:color w:val="000000"/>
      </w:rPr>
      <w:t>2</w:t>
    </w:r>
    <w:r>
      <w:rPr>
        <w:color w:val="000000"/>
      </w:rPr>
      <w:fldChar w:fldCharType="end"/>
    </w:r>
  </w:p>
  <w:p w:rsidR="00E00A6B" w:rsidRDefault="00E0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ED" w:rsidRDefault="00EA47ED" w:rsidP="00E00A6B">
      <w:pPr>
        <w:spacing w:line="240" w:lineRule="auto"/>
      </w:pPr>
      <w:r>
        <w:separator/>
      </w:r>
    </w:p>
  </w:footnote>
  <w:footnote w:type="continuationSeparator" w:id="0">
    <w:p w:rsidR="00EA47ED" w:rsidRDefault="00EA47ED" w:rsidP="00E00A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AF7"/>
    <w:multiLevelType w:val="multilevel"/>
    <w:tmpl w:val="BA0292A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pStyle w:val="4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A06AA8"/>
    <w:multiLevelType w:val="multilevel"/>
    <w:tmpl w:val="FD4E671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6B"/>
    <w:rsid w:val="00545627"/>
    <w:rsid w:val="00E00A6B"/>
    <w:rsid w:val="00EA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00" w:lineRule="auto"/>
        <w:ind w:firstLine="7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B4"/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rsid w:val="00E00A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b/>
      <w:kern w:val="0"/>
      <w:sz w:val="28"/>
      <w:szCs w:val="28"/>
      <w:lang w:eastAsia="zh-CN"/>
    </w:rPr>
  </w:style>
  <w:style w:type="paragraph" w:styleId="5">
    <w:name w:val="heading 5"/>
    <w:basedOn w:val="normal"/>
    <w:next w:val="normal"/>
    <w:rsid w:val="00E00A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00A6B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0A6B"/>
  </w:style>
  <w:style w:type="table" w:customStyle="1" w:styleId="TableNormal">
    <w:name w:val="Table Normal"/>
    <w:rsid w:val="00E00A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0A6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5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link w:val="a6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0">
    <w:name w:val="Body Text Indent 3"/>
    <w:basedOn w:val="a"/>
    <w:link w:val="31"/>
    <w:rsid w:val="001962B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kern w:val="0"/>
      <w:sz w:val="24"/>
      <w:szCs w:val="24"/>
      <w:lang w:eastAsia="zh-CN"/>
    </w:rPr>
  </w:style>
  <w:style w:type="paragraph" w:styleId="af2">
    <w:name w:val="Subtitle"/>
    <w:basedOn w:val="normal"/>
    <w:next w:val="normal"/>
    <w:link w:val="af3"/>
    <w:rsid w:val="00E00A6B"/>
    <w:pPr>
      <w:widowControl/>
      <w:shd w:val="clear" w:color="auto" w:fill="FFFFFF"/>
      <w:spacing w:line="360" w:lineRule="auto"/>
      <w:ind w:firstLine="720"/>
      <w:jc w:val="center"/>
    </w:pPr>
    <w:rPr>
      <w:b/>
      <w:color w:val="000000"/>
      <w:sz w:val="32"/>
      <w:szCs w:val="32"/>
    </w:rPr>
  </w:style>
  <w:style w:type="character" w:customStyle="1" w:styleId="af3">
    <w:name w:val="Подзаголовок Знак"/>
    <w:link w:val="af2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4">
    <w:name w:val="Hyperlink"/>
    <w:rsid w:val="000C4A05"/>
    <w:rPr>
      <w:rFonts w:cs="Times New Roman"/>
      <w:color w:val="0000FF"/>
      <w:u w:val="single"/>
    </w:rPr>
  </w:style>
  <w:style w:type="character" w:styleId="af5">
    <w:name w:val="annotation reference"/>
    <w:semiHidden/>
    <w:rsid w:val="00104F3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104F3D"/>
    <w:pPr>
      <w:spacing w:line="240" w:lineRule="auto"/>
    </w:pPr>
  </w:style>
  <w:style w:type="character" w:customStyle="1" w:styleId="af7">
    <w:name w:val="Текст примечания Знак"/>
    <w:link w:val="af6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8">
    <w:name w:val="annotation subject"/>
    <w:basedOn w:val="af6"/>
    <w:next w:val="af6"/>
    <w:link w:val="af9"/>
    <w:semiHidden/>
    <w:rsid w:val="00104F3D"/>
    <w:rPr>
      <w:b/>
      <w:bCs/>
    </w:rPr>
  </w:style>
  <w:style w:type="character" w:customStyle="1" w:styleId="af9">
    <w:name w:val="Тема примечания Знак"/>
    <w:link w:val="af8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a">
    <w:name w:val="Plain Text"/>
    <w:basedOn w:val="a"/>
    <w:rsid w:val="005505D9"/>
    <w:rPr>
      <w:rFonts w:ascii="Courier New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hAnsi="Courier New" w:cs="Courier New"/>
      <w:kern w:val="0"/>
      <w:sz w:val="24"/>
      <w:lang w:eastAsia="zh-CN"/>
    </w:rPr>
  </w:style>
  <w:style w:type="paragraph" w:styleId="afb">
    <w:name w:val="Normal (Web)"/>
    <w:basedOn w:val="a"/>
    <w:uiPriority w:val="99"/>
    <w:unhideWhenUsed/>
    <w:locked/>
    <w:rsid w:val="00A25D20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D81E04"/>
    <w:pPr>
      <w:ind w:left="720"/>
      <w:contextualSpacing/>
    </w:pPr>
  </w:style>
  <w:style w:type="table" w:customStyle="1" w:styleId="afd">
    <w:basedOn w:val="TableNormal"/>
    <w:rsid w:val="00E00A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eP7TTb5ARL4B/Xg5hYyFPNp2Vg==">AMUW2mXX3VgFsj+aaeHPLhAOex7pe7+KAKUjYjWRkpw5sevIYqcZ2paORDHOkRr1+BnmvJGdzqWic2L+SXYfRzE4B9IhuW1fgGc78QZmIE6XTlI3G1l0VK6qWtC8NmRMNDHOx2fVDbQ1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Admin</cp:lastModifiedBy>
  <cp:revision>2</cp:revision>
  <dcterms:created xsi:type="dcterms:W3CDTF">2021-07-17T15:18:00Z</dcterms:created>
  <dcterms:modified xsi:type="dcterms:W3CDTF">2023-07-25T08:31:00Z</dcterms:modified>
</cp:coreProperties>
</file>