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964FEE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Инвестиционный анализ производства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 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>Изучение курса завершается экзаменом.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>по подготовке к экзамену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51712"/>
    <w:rsid w:val="00262726"/>
    <w:rsid w:val="002848E9"/>
    <w:rsid w:val="002C62C0"/>
    <w:rsid w:val="0040561E"/>
    <w:rsid w:val="0052628D"/>
    <w:rsid w:val="006D0752"/>
    <w:rsid w:val="007B0079"/>
    <w:rsid w:val="007F7A32"/>
    <w:rsid w:val="00922ECE"/>
    <w:rsid w:val="00964FEE"/>
    <w:rsid w:val="00A15A26"/>
    <w:rsid w:val="00A43E11"/>
    <w:rsid w:val="00A5520A"/>
    <w:rsid w:val="00C50872"/>
    <w:rsid w:val="00C55C0C"/>
    <w:rsid w:val="00CC62D6"/>
    <w:rsid w:val="00CE2533"/>
    <w:rsid w:val="00D26A05"/>
    <w:rsid w:val="00E10931"/>
    <w:rsid w:val="00E8671B"/>
    <w:rsid w:val="00F24771"/>
    <w:rsid w:val="00F610A8"/>
    <w:rsid w:val="00F67763"/>
    <w:rsid w:val="00FA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2022-10-20T19:01:00Z</dcterms:created>
  <dcterms:modified xsi:type="dcterms:W3CDTF">2022-10-20T19:01:00Z</dcterms:modified>
</cp:coreProperties>
</file>