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FE0" w:rsidRDefault="0055149C">
      <w:pPr>
        <w:ind w:firstLine="0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kern w:val="0"/>
          <w:sz w:val="28"/>
          <w:szCs w:val="28"/>
        </w:rPr>
        <w:t xml:space="preserve">Приложение </w:t>
      </w:r>
    </w:p>
    <w:p w:rsidR="00CD5FE0" w:rsidRDefault="00CD5FE0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CD5FE0" w:rsidRDefault="00CD5FE0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CD5FE0" w:rsidRDefault="0055149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Министерство НАУКИ и ВЫСШЕГО образования  </w:t>
      </w:r>
    </w:p>
    <w:p w:rsidR="00CD5FE0" w:rsidRDefault="0055149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CD5FE0" w:rsidRDefault="0055149C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CD5FE0" w:rsidRDefault="0055149C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CD5FE0" w:rsidRDefault="0055149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CD5FE0" w:rsidRDefault="0055149C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CD5FE0" w:rsidRDefault="0055149C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CD5FE0" w:rsidRDefault="00CD5FE0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CD5FE0" w:rsidRDefault="00CD5FE0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CD5FE0">
        <w:tc>
          <w:tcPr>
            <w:tcW w:w="4392" w:type="dxa"/>
          </w:tcPr>
          <w:p w:rsidR="00CD5FE0" w:rsidRDefault="00CD5FE0">
            <w:pPr>
              <w:spacing w:after="200" w:line="276" w:lineRule="auto"/>
              <w:ind w:firstLine="0"/>
              <w:rPr>
                <w:kern w:val="0"/>
                <w:sz w:val="28"/>
              </w:rPr>
            </w:pPr>
          </w:p>
          <w:p w:rsidR="00CD5FE0" w:rsidRDefault="00CD5FE0">
            <w:pPr>
              <w:spacing w:after="200" w:line="276" w:lineRule="auto"/>
              <w:ind w:firstLine="0"/>
              <w:rPr>
                <w:kern w:val="0"/>
                <w:sz w:val="28"/>
              </w:rPr>
            </w:pPr>
          </w:p>
        </w:tc>
        <w:tc>
          <w:tcPr>
            <w:tcW w:w="1276" w:type="dxa"/>
          </w:tcPr>
          <w:p w:rsidR="00CD5FE0" w:rsidRDefault="00CD5FE0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7" w:type="dxa"/>
          </w:tcPr>
          <w:p w:rsidR="00CD5FE0" w:rsidRDefault="00CD5FE0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</w:tr>
    </w:tbl>
    <w:p w:rsidR="00CD5FE0" w:rsidRDefault="00CD5FE0">
      <w:pPr>
        <w:spacing w:line="360" w:lineRule="auto"/>
        <w:ind w:firstLine="0"/>
        <w:rPr>
          <w:rFonts w:eastAsia="TimesNewRomanPSMT"/>
          <w:b/>
          <w:kern w:val="0"/>
          <w:sz w:val="28"/>
          <w:szCs w:val="28"/>
        </w:rPr>
      </w:pPr>
    </w:p>
    <w:p w:rsidR="00CD5FE0" w:rsidRDefault="0055149C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CD5FE0" w:rsidRDefault="0055149C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CD5FE0" w:rsidRDefault="00722103">
      <w:pPr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Б</w:t>
      </w:r>
      <w:proofErr w:type="gramStart"/>
      <w:r>
        <w:rPr>
          <w:rFonts w:eastAsia="TimesNewRomanPSMT"/>
          <w:b/>
          <w:kern w:val="0"/>
          <w:sz w:val="28"/>
          <w:szCs w:val="28"/>
        </w:rPr>
        <w:t>1.О.</w:t>
      </w:r>
      <w:proofErr w:type="gramEnd"/>
      <w:r>
        <w:rPr>
          <w:rFonts w:eastAsia="TimesNewRomanPSMT"/>
          <w:b/>
          <w:kern w:val="0"/>
          <w:sz w:val="28"/>
          <w:szCs w:val="28"/>
        </w:rPr>
        <w:t>18</w:t>
      </w:r>
      <w:r w:rsidR="0055149C">
        <w:rPr>
          <w:rFonts w:eastAsia="TimesNewRomanPSMT"/>
          <w:b/>
          <w:kern w:val="0"/>
          <w:sz w:val="28"/>
          <w:szCs w:val="28"/>
        </w:rPr>
        <w:t xml:space="preserve"> «Радиотехнические цепи и сигналы»</w:t>
      </w:r>
    </w:p>
    <w:p w:rsidR="00CD5FE0" w:rsidRDefault="00CD5FE0">
      <w:pPr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 </w:t>
      </w: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11.05.01 «Радиоэлектронные </w:t>
      </w:r>
      <w:r>
        <w:rPr>
          <w:color w:val="000000"/>
          <w:sz w:val="28"/>
          <w:szCs w:val="28"/>
        </w:rPr>
        <w:t>системы и комплексы»</w:t>
      </w:r>
    </w:p>
    <w:p w:rsidR="00CD5FE0" w:rsidRDefault="00CD5FE0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Специализация</w:t>
      </w: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«Радиоэлектронные системы передачи информации»</w:t>
      </w:r>
    </w:p>
    <w:p w:rsidR="00CD5FE0" w:rsidRDefault="00CD5FE0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</w:t>
      </w:r>
    </w:p>
    <w:p w:rsidR="00CD5FE0" w:rsidRDefault="0055149C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Специалитет</w:t>
      </w:r>
      <w:proofErr w:type="spellEnd"/>
    </w:p>
    <w:p w:rsidR="00CD5FE0" w:rsidRDefault="00CD5FE0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CD5FE0" w:rsidRDefault="0055149C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инженер</w:t>
      </w:r>
    </w:p>
    <w:p w:rsidR="00CD5FE0" w:rsidRDefault="00CD5FE0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CD5FE0" w:rsidRDefault="0055149C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очная</w:t>
      </w:r>
    </w:p>
    <w:p w:rsidR="00CD5FE0" w:rsidRDefault="00CD5FE0">
      <w:pPr>
        <w:ind w:firstLine="0"/>
        <w:rPr>
          <w:rFonts w:eastAsia="TimesNewRomanPSMT"/>
          <w:kern w:val="0"/>
          <w:sz w:val="28"/>
          <w:szCs w:val="28"/>
        </w:rPr>
      </w:pPr>
    </w:p>
    <w:p w:rsidR="00CD5FE0" w:rsidRDefault="0055149C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 </w:t>
      </w:r>
    </w:p>
    <w:p w:rsidR="00CD5FE0" w:rsidRDefault="00CD5FE0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CD5FE0" w:rsidRDefault="00CD5FE0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CD5FE0" w:rsidRDefault="00CD5FE0" w:rsidP="00722103">
      <w:pPr>
        <w:ind w:firstLine="0"/>
        <w:rPr>
          <w:rFonts w:eastAsia="TimesNewRomanPSMT"/>
          <w:kern w:val="0"/>
          <w:sz w:val="28"/>
          <w:szCs w:val="28"/>
        </w:rPr>
      </w:pPr>
    </w:p>
    <w:p w:rsidR="00CD5FE0" w:rsidRDefault="0055149C">
      <w:pPr>
        <w:ind w:firstLine="0"/>
        <w:jc w:val="center"/>
        <w:rPr>
          <w:rStyle w:val="a4"/>
          <w:rFonts w:eastAsia="TimesNewRomanPSMT"/>
          <w:b w:val="0"/>
          <w:bCs w:val="0"/>
          <w:i w:val="0"/>
          <w:iCs w:val="0"/>
          <w:kern w:val="0"/>
          <w:sz w:val="28"/>
          <w:szCs w:val="28"/>
          <w:shd w:val="clear" w:color="auto" w:fill="auto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722103">
        <w:rPr>
          <w:rFonts w:eastAsia="TimesNewRomanPSMT"/>
          <w:kern w:val="0"/>
          <w:sz w:val="28"/>
          <w:szCs w:val="28"/>
        </w:rPr>
        <w:t>3</w:t>
      </w:r>
      <w:r>
        <w:rPr>
          <w:rFonts w:eastAsia="TimesNewRomanPSMT"/>
          <w:kern w:val="0"/>
          <w:sz w:val="28"/>
          <w:szCs w:val="28"/>
        </w:rPr>
        <w:t xml:space="preserve"> г.</w:t>
      </w:r>
    </w:p>
    <w:p w:rsidR="00CD5FE0" w:rsidRDefault="0055149C">
      <w:pPr>
        <w:pStyle w:val="af1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 xml:space="preserve">Оценочные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материалы  предназначены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для оценки </w:t>
      </w:r>
      <w:r>
        <w:rPr>
          <w:rStyle w:val="a4"/>
          <w:b/>
          <w:bCs/>
          <w:iCs/>
          <w:color w:val="000000"/>
          <w:sz w:val="28"/>
          <w:szCs w:val="28"/>
        </w:rPr>
        <w:t>качества освоения студентами данной дисциплины как обязательной части дисциплины  базовой ОПОП.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основной  образовательной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программы в ход</w:t>
      </w:r>
      <w:r>
        <w:rPr>
          <w:rStyle w:val="a4"/>
          <w:b/>
          <w:bCs/>
          <w:iCs/>
          <w:color w:val="000000"/>
          <w:sz w:val="28"/>
          <w:szCs w:val="28"/>
        </w:rPr>
        <w:t>е проведения текущего контроля и промежуточной аттестации.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  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>, приобретаемых студентами в ходе изучения дисциплины и поддерживаемых ею.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Контроль  знани</w:t>
      </w:r>
      <w:r>
        <w:rPr>
          <w:rStyle w:val="a4"/>
          <w:b/>
          <w:bCs/>
          <w:iCs/>
          <w:color w:val="000000"/>
          <w:sz w:val="28"/>
          <w:szCs w:val="28"/>
        </w:rPr>
        <w:t>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студентов  проводится в  форме  текущего  контроля и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промежуточной аттестации.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Текущий контроль успеваемости проводится с целью определения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степени  усвоения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учебного  материала,  своевременного выявления  и устранения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недостатков в подготовке с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тудентов и принятия необходимых мер по совершенствованию методики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преподавания  учебной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 дисциплины (модуля),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орга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>-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низации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работы студентов в ходе учебных занятий и оказания им индивидуальной помощи.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  текущему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контролю относятся проверка знаний, </w:t>
      </w:r>
      <w:r>
        <w:rPr>
          <w:rStyle w:val="a4"/>
          <w:b/>
          <w:bCs/>
          <w:iCs/>
          <w:color w:val="000000"/>
          <w:sz w:val="28"/>
          <w:szCs w:val="28"/>
        </w:rPr>
        <w:t>умений и навыков студентов: на занятиях; по результатам выполнения самостоятельных работ, КР; по результатам тестирования в ходе семестра; по результатам выполнения обучающимися индивидуальных заданий; по результатам проверки качества конспектов лекций и и</w:t>
      </w:r>
      <w:r>
        <w:rPr>
          <w:rStyle w:val="a4"/>
          <w:b/>
          <w:bCs/>
          <w:iCs/>
          <w:color w:val="000000"/>
          <w:sz w:val="28"/>
          <w:szCs w:val="28"/>
        </w:rPr>
        <w:t>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 w:rsidR="00CD5FE0" w:rsidRDefault="0055149C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По итогам изучения дисциплины (промежуточная аттестация) сту</w:t>
      </w:r>
      <w:r>
        <w:rPr>
          <w:rStyle w:val="a4"/>
          <w:b/>
          <w:bCs/>
          <w:iCs/>
          <w:color w:val="000000"/>
          <w:sz w:val="28"/>
          <w:szCs w:val="28"/>
        </w:rPr>
        <w:t>денты сдают зачет (в четвертом семестре), экзамен (в пятом семестре) и защищают курсовую работу (в пятом семестре). Форма проведения зачета и экзамена – письменный ответ, по утвержденным заведующим кафедрой экзаменационным билетам или по вопросам для зачет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а, список которых приводится ниже. В билет для зачета включается три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вопроса,  в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экзаменационный билет - три вопроса по темам курса. Для уточнения степени понимания студентом материала экзаменатором задаются дополнительные вопросы. Завершающим этапом выпол</w:t>
      </w:r>
      <w:r>
        <w:rPr>
          <w:rStyle w:val="a4"/>
          <w:b/>
          <w:bCs/>
          <w:iCs/>
          <w:color w:val="000000"/>
          <w:sz w:val="28"/>
          <w:szCs w:val="28"/>
        </w:rPr>
        <w:t>нения курсовой работы является индивидуальная защита каждым студентом выполненной работы.</w:t>
      </w: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CD5FE0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CD5FE0" w:rsidRDefault="0055149C">
      <w:pPr>
        <w:pStyle w:val="af1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 1. Паспорт фонда оценочных средств по дисциплине</w:t>
      </w:r>
    </w:p>
    <w:p w:rsidR="00CD5FE0" w:rsidRDefault="00CD5FE0">
      <w:pPr>
        <w:ind w:firstLine="0"/>
        <w:jc w:val="both"/>
        <w:rPr>
          <w:sz w:val="28"/>
          <w:szCs w:val="28"/>
        </w:rPr>
      </w:pPr>
    </w:p>
    <w:tbl>
      <w:tblPr>
        <w:tblW w:w="91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2529"/>
        <w:gridCol w:w="1984"/>
        <w:gridCol w:w="1984"/>
        <w:gridCol w:w="1844"/>
      </w:tblGrid>
      <w:tr w:rsidR="00CD5FE0"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         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bCs/>
                <w:color w:val="000000"/>
              </w:rPr>
              <w:t xml:space="preserve">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Код контролируемой компетенции (или её час-</w:t>
            </w:r>
            <w:proofErr w:type="spellStart"/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Вид, метод, </w:t>
            </w:r>
            <w:r>
              <w:rPr>
                <w:b/>
                <w:sz w:val="28"/>
                <w:szCs w:val="28"/>
              </w:rPr>
              <w:t>форма оценочного мероприятия</w:t>
            </w:r>
          </w:p>
        </w:tc>
      </w:tr>
      <w:tr w:rsidR="00CD5FE0">
        <w:trPr>
          <w:cantSplit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pStyle w:val="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семестре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сессию</w:t>
            </w:r>
          </w:p>
        </w:tc>
      </w:tr>
      <w:tr w:rsidR="00CD5FE0">
        <w:trPr>
          <w:cantSplit/>
          <w:trHeight w:val="351"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pStyle w:val="27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CD5FE0">
        <w:trPr>
          <w:cantSplit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pStyle w:val="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1.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</w:tr>
      <w:tr w:rsidR="00CD5FE0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лаб. раб.</w:t>
            </w:r>
          </w:p>
          <w:p w:rsidR="00CD5FE0" w:rsidRDefault="00CD5FE0">
            <w:pPr>
              <w:ind w:firstLine="0"/>
              <w:rPr>
                <w:sz w:val="28"/>
                <w:szCs w:val="28"/>
              </w:rPr>
            </w:pPr>
          </w:p>
          <w:p w:rsidR="00CD5FE0" w:rsidRDefault="00CD5FE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D5FE0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Детерминированные сигналы и их основные характеристики.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>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D5FE0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Прохождение детерминированного сигнала через линейную РТЦ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D5FE0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Нелинейные РТЦ. Методы анализа. Применение.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</w:t>
            </w:r>
            <w:proofErr w:type="spellStart"/>
            <w:r>
              <w:rPr>
                <w:sz w:val="28"/>
                <w:szCs w:val="28"/>
              </w:rPr>
              <w:t>защ</w:t>
            </w:r>
            <w:proofErr w:type="spellEnd"/>
            <w:r>
              <w:rPr>
                <w:sz w:val="28"/>
                <w:szCs w:val="28"/>
              </w:rPr>
              <w:t>.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D5FE0">
        <w:trPr>
          <w:trHeight w:val="3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Модуль 2.</w:t>
            </w:r>
          </w:p>
          <w:p w:rsidR="00CD5FE0" w:rsidRDefault="0055149C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jc w:val="center"/>
              <w:rPr>
                <w:sz w:val="28"/>
                <w:szCs w:val="28"/>
              </w:rPr>
            </w:pPr>
          </w:p>
        </w:tc>
      </w:tr>
      <w:tr w:rsidR="00CD5FE0">
        <w:trPr>
          <w:trHeight w:val="3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Генерирование </w:t>
            </w:r>
            <w:r>
              <w:rPr>
                <w:sz w:val="28"/>
                <w:szCs w:val="28"/>
              </w:rPr>
              <w:lastRenderedPageBreak/>
              <w:t>гармонических колебаний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pStyle w:val="ab"/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Консультации, </w:t>
            </w:r>
            <w:r>
              <w:rPr>
                <w:sz w:val="28"/>
                <w:szCs w:val="28"/>
              </w:rPr>
              <w:lastRenderedPageBreak/>
              <w:t>самостоятельная работа</w:t>
            </w:r>
          </w:p>
          <w:p w:rsidR="00CD5FE0" w:rsidRDefault="0055149C">
            <w:pPr>
              <w:pStyle w:val="ab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Защита лабораторной работы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pStyle w:val="ab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Экзамен</w:t>
            </w:r>
          </w:p>
        </w:tc>
      </w:tr>
      <w:tr w:rsidR="00CD5FE0">
        <w:trPr>
          <w:trHeight w:val="13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E0" w:rsidRDefault="0055149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сигналы.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r>
              <w:rPr>
                <w:szCs w:val="28"/>
              </w:rPr>
              <w:t>Экзамен</w:t>
            </w:r>
          </w:p>
        </w:tc>
      </w:tr>
      <w:tr w:rsidR="00CD5FE0">
        <w:trPr>
          <w:trHeight w:val="3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E0" w:rsidRDefault="0055149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фильтрация случайных сигналов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r>
              <w:rPr>
                <w:szCs w:val="28"/>
              </w:rPr>
              <w:t>Экзамен</w:t>
            </w:r>
          </w:p>
        </w:tc>
      </w:tr>
      <w:tr w:rsidR="00CD5FE0">
        <w:trPr>
          <w:trHeight w:val="164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CD5FE0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D5FE0" w:rsidRDefault="0055149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FE0" w:rsidRDefault="0055149C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случайного сигнала через нелинейную РТЦ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Контрольная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Default="0055149C">
            <w:r>
              <w:rPr>
                <w:szCs w:val="28"/>
              </w:rPr>
              <w:t>Экзамен</w:t>
            </w:r>
          </w:p>
        </w:tc>
      </w:tr>
    </w:tbl>
    <w:p w:rsidR="00CD5FE0" w:rsidRDefault="0055149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</w:t>
      </w:r>
    </w:p>
    <w:p w:rsidR="00CD5FE0" w:rsidRDefault="0055149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аудиторных занятий, предэкзаменационных консультаций и экзаменов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 месте.</w:t>
      </w:r>
    </w:p>
    <w:p w:rsidR="00CD5FE0" w:rsidRDefault="0055149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для  самостоятельного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изучения  студентами, и курсовой  работе составляется  лектором  дисциплины  по  согласованию  со студентами,  подписывается  им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 и  вывешивается  на бумажном  носителе на доске объявлений кафедры.</w:t>
      </w:r>
    </w:p>
    <w:p w:rsidR="00CD5FE0" w:rsidRDefault="0055149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</w:t>
      </w:r>
      <w:proofErr w:type="gramStart"/>
      <w:r>
        <w:rPr>
          <w:rStyle w:val="70"/>
          <w:b/>
          <w:bCs/>
          <w:iCs/>
          <w:color w:val="000000"/>
          <w:sz w:val="28"/>
          <w:szCs w:val="28"/>
        </w:rPr>
        <w:t>Если  студент</w:t>
      </w:r>
      <w:proofErr w:type="gramEnd"/>
      <w:r>
        <w:rPr>
          <w:rStyle w:val="70"/>
          <w:b/>
          <w:bCs/>
          <w:iCs/>
          <w:color w:val="000000"/>
          <w:sz w:val="28"/>
          <w:szCs w:val="28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риала проверяется в ходе сдачи зачета или экзамена во время промежуточной аттестации. </w:t>
      </w:r>
    </w:p>
    <w:p w:rsidR="00CD5FE0" w:rsidRDefault="00CD5FE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CD5FE0" w:rsidRDefault="0055149C">
      <w:pPr>
        <w:spacing w:line="240" w:lineRule="auto"/>
        <w:ind w:firstLine="0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 xml:space="preserve">      2. Критерии оценивания освоения компетенций (результатов)</w:t>
      </w:r>
    </w:p>
    <w:p w:rsidR="00CD5FE0" w:rsidRDefault="00CD5FE0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 Полнота усвоения материала, предусмотренного программой.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2) </w:t>
      </w:r>
      <w:proofErr w:type="gramStart"/>
      <w:r>
        <w:rPr>
          <w:rStyle w:val="20"/>
          <w:color w:val="000000"/>
          <w:kern w:val="0"/>
          <w:sz w:val="28"/>
          <w:szCs w:val="28"/>
        </w:rPr>
        <w:t>Глубина  понимания</w:t>
      </w:r>
      <w:proofErr w:type="gramEnd"/>
      <w:r>
        <w:rPr>
          <w:rStyle w:val="20"/>
          <w:color w:val="000000"/>
          <w:kern w:val="0"/>
          <w:sz w:val="28"/>
          <w:szCs w:val="28"/>
        </w:rPr>
        <w:t xml:space="preserve"> материала, умение </w:t>
      </w:r>
      <w:r>
        <w:rPr>
          <w:rStyle w:val="20"/>
          <w:color w:val="000000"/>
          <w:kern w:val="0"/>
          <w:sz w:val="28"/>
          <w:szCs w:val="28"/>
        </w:rPr>
        <w:t>устанавливать причинно-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следственные связи.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3) </w:t>
      </w:r>
      <w:proofErr w:type="gramStart"/>
      <w:r>
        <w:rPr>
          <w:rStyle w:val="20"/>
          <w:color w:val="000000"/>
          <w:kern w:val="0"/>
          <w:sz w:val="28"/>
          <w:szCs w:val="28"/>
        </w:rPr>
        <w:t>Умение  применять</w:t>
      </w:r>
      <w:proofErr w:type="gramEnd"/>
      <w:r>
        <w:rPr>
          <w:rStyle w:val="20"/>
          <w:color w:val="000000"/>
          <w:kern w:val="0"/>
          <w:sz w:val="28"/>
          <w:szCs w:val="28"/>
        </w:rPr>
        <w:t xml:space="preserve"> освоенный материал к ситуациям, которые не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рассматривались в ходе учебного процесса.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4) Использование дополнительной литературы при изучении </w:t>
      </w:r>
      <w:proofErr w:type="spellStart"/>
      <w:r>
        <w:rPr>
          <w:rStyle w:val="20"/>
          <w:color w:val="000000"/>
          <w:kern w:val="0"/>
          <w:sz w:val="28"/>
          <w:szCs w:val="28"/>
        </w:rPr>
        <w:t>дисцип</w:t>
      </w:r>
      <w:proofErr w:type="spellEnd"/>
      <w:r>
        <w:rPr>
          <w:rStyle w:val="20"/>
          <w:color w:val="000000"/>
          <w:kern w:val="0"/>
          <w:sz w:val="28"/>
          <w:szCs w:val="28"/>
        </w:rPr>
        <w:t>-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</w:t>
      </w:r>
      <w:proofErr w:type="spellStart"/>
      <w:r>
        <w:rPr>
          <w:rStyle w:val="20"/>
          <w:color w:val="000000"/>
          <w:kern w:val="0"/>
          <w:sz w:val="28"/>
          <w:szCs w:val="28"/>
        </w:rPr>
        <w:t>лины</w:t>
      </w:r>
      <w:proofErr w:type="spellEnd"/>
      <w:r>
        <w:rPr>
          <w:rStyle w:val="20"/>
          <w:color w:val="000000"/>
          <w:kern w:val="0"/>
          <w:sz w:val="28"/>
          <w:szCs w:val="28"/>
        </w:rPr>
        <w:t>.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5) Качество ответа (его </w:t>
      </w:r>
      <w:r>
        <w:rPr>
          <w:rStyle w:val="20"/>
          <w:color w:val="000000"/>
          <w:kern w:val="0"/>
          <w:sz w:val="28"/>
          <w:szCs w:val="28"/>
        </w:rPr>
        <w:t>общая композиция, логичность, убежденность,</w:t>
      </w:r>
    </w:p>
    <w:p w:rsidR="00CD5FE0" w:rsidRDefault="005514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lastRenderedPageBreak/>
        <w:t xml:space="preserve">    общая эрудиция).</w:t>
      </w:r>
    </w:p>
    <w:p w:rsidR="00CD5FE0" w:rsidRDefault="0055149C">
      <w:pPr>
        <w:spacing w:line="240" w:lineRule="auto"/>
        <w:ind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6) Содержательная сторона и качество материалов, приведенных в от</w:t>
      </w:r>
    </w:p>
    <w:p w:rsidR="00CD5FE0" w:rsidRDefault="0055149C">
      <w:pPr>
        <w:spacing w:line="240" w:lineRule="auto"/>
        <w:ind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   четах студента по лабораторным работам, практическим занятиям.</w:t>
      </w:r>
    </w:p>
    <w:p w:rsidR="00CD5FE0" w:rsidRDefault="00CD5FE0">
      <w:pPr>
        <w:spacing w:line="240" w:lineRule="auto"/>
        <w:ind w:firstLine="0"/>
        <w:rPr>
          <w:color w:val="000000"/>
          <w:szCs w:val="24"/>
        </w:rPr>
      </w:pPr>
    </w:p>
    <w:p w:rsidR="00CD5FE0" w:rsidRDefault="0055149C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Уровень  знаний</w:t>
      </w:r>
      <w:proofErr w:type="gramEnd"/>
      <w:r>
        <w:rPr>
          <w:color w:val="000000"/>
          <w:sz w:val="28"/>
          <w:szCs w:val="28"/>
          <w:lang w:eastAsia="ru-RU"/>
        </w:rPr>
        <w:t>, умений и навыков по дисциплине оценивает</w:t>
      </w:r>
      <w:r>
        <w:rPr>
          <w:color w:val="000000"/>
          <w:sz w:val="28"/>
          <w:szCs w:val="28"/>
          <w:lang w:eastAsia="ru-RU"/>
        </w:rPr>
        <w:t>ся в форме бальной отметки:</w:t>
      </w:r>
    </w:p>
    <w:p w:rsidR="00CD5FE0" w:rsidRDefault="0055149C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 xml:space="preserve">заслуживает студент, </w:t>
      </w:r>
      <w:proofErr w:type="gramStart"/>
      <w:r>
        <w:rPr>
          <w:color w:val="000000"/>
          <w:sz w:val="28"/>
          <w:szCs w:val="28"/>
          <w:lang w:eastAsia="ru-RU"/>
        </w:rPr>
        <w:t>обнаруживший  всестороннее</w:t>
      </w:r>
      <w:proofErr w:type="gramEnd"/>
      <w:r>
        <w:rPr>
          <w:color w:val="000000"/>
          <w:sz w:val="28"/>
          <w:szCs w:val="28"/>
          <w:lang w:eastAsia="ru-RU"/>
        </w:rPr>
        <w:t>, систематическое и глубокое знание учебно-программного   материала, умение свободно выполнять задания, предусмотренные  программой, усвоивший основную и знакомый с дополн</w:t>
      </w:r>
      <w:r>
        <w:rPr>
          <w:color w:val="000000"/>
          <w:sz w:val="28"/>
          <w:szCs w:val="28"/>
          <w:lang w:eastAsia="ru-RU"/>
        </w:rPr>
        <w:t xml:space="preserve">ительной литературой,   рекомендованной программой. Как </w:t>
      </w:r>
      <w:proofErr w:type="gramStart"/>
      <w:r>
        <w:rPr>
          <w:color w:val="000000"/>
          <w:sz w:val="28"/>
          <w:szCs w:val="28"/>
          <w:lang w:eastAsia="ru-RU"/>
        </w:rPr>
        <w:t>правило,  оценка</w:t>
      </w:r>
      <w:proofErr w:type="gramEnd"/>
      <w:r>
        <w:rPr>
          <w:color w:val="000000"/>
          <w:sz w:val="28"/>
          <w:szCs w:val="28"/>
          <w:lang w:eastAsia="ru-RU"/>
        </w:rPr>
        <w:t xml:space="preserve"> «отлично»  выставляется  студентам,   усвоившим взаимосвязь основных понятий дисциплины в их    значении для приобретаемой профессии.</w:t>
      </w:r>
    </w:p>
    <w:p w:rsidR="00CD5FE0" w:rsidRDefault="0055149C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</w:t>
      </w:r>
      <w:r>
        <w:rPr>
          <w:color w:val="000000"/>
          <w:sz w:val="28"/>
          <w:szCs w:val="28"/>
          <w:lang w:eastAsia="ru-RU"/>
        </w:rPr>
        <w:t xml:space="preserve"> знание учебно-программного материала, </w:t>
      </w:r>
      <w:proofErr w:type="gramStart"/>
      <w:r>
        <w:rPr>
          <w:color w:val="000000"/>
          <w:sz w:val="28"/>
          <w:szCs w:val="28"/>
          <w:lang w:eastAsia="ru-RU"/>
        </w:rPr>
        <w:t>успешно  выполняющий</w:t>
      </w:r>
      <w:proofErr w:type="gramEnd"/>
      <w:r>
        <w:rPr>
          <w:color w:val="000000"/>
          <w:sz w:val="28"/>
          <w:szCs w:val="28"/>
          <w:lang w:eastAsia="ru-RU"/>
        </w:rPr>
        <w:t xml:space="preserve">   предусмотренные  в программе задания, усвоивший основную литературу,   рекомендованную  в программе. Как правило, оценка «хорошо» выставляется студентам, показавшим систематический характер знан</w:t>
      </w:r>
      <w:r>
        <w:rPr>
          <w:color w:val="000000"/>
          <w:sz w:val="28"/>
          <w:szCs w:val="28"/>
          <w:lang w:eastAsia="ru-RU"/>
        </w:rPr>
        <w:t>ий по   дисциплине и   способным к их   самостоятельному пополнению и обновлению в ходе дальнейшей учебной работы и профессиональной деятельности.</w:t>
      </w:r>
    </w:p>
    <w:p w:rsidR="00CD5FE0" w:rsidRDefault="005514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</w:t>
      </w:r>
      <w:r>
        <w:rPr>
          <w:color w:val="000000"/>
          <w:sz w:val="28"/>
          <w:szCs w:val="28"/>
          <w:lang w:eastAsia="ru-RU"/>
        </w:rPr>
        <w:t>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</w:t>
      </w:r>
      <w:r>
        <w:rPr>
          <w:color w:val="000000"/>
          <w:sz w:val="28"/>
          <w:szCs w:val="28"/>
          <w:lang w:eastAsia="ru-RU"/>
        </w:rPr>
        <w:t>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D5FE0" w:rsidRDefault="005514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</w:t>
      </w:r>
      <w:r>
        <w:rPr>
          <w:color w:val="000000"/>
          <w:sz w:val="28"/>
          <w:szCs w:val="28"/>
          <w:lang w:eastAsia="ru-RU"/>
        </w:rPr>
        <w:t xml:space="preserve">х основного учебно-программного материала, допустившему принципиальные ошибки в выполнении предусмотренных </w:t>
      </w:r>
      <w:proofErr w:type="gramStart"/>
      <w:r>
        <w:rPr>
          <w:color w:val="000000"/>
          <w:sz w:val="28"/>
          <w:szCs w:val="28"/>
          <w:lang w:eastAsia="ru-RU"/>
        </w:rPr>
        <w:t>программой  заданий</w:t>
      </w:r>
      <w:proofErr w:type="gramEnd"/>
      <w:r>
        <w:rPr>
          <w:color w:val="000000"/>
          <w:sz w:val="28"/>
          <w:szCs w:val="28"/>
          <w:lang w:eastAsia="ru-RU"/>
        </w:rPr>
        <w:t xml:space="preserve"> или не выполнившего  учебный план по дисциплине. Как правило, оценка «неудовлетворительно» ставится студентам, которые не могут п</w:t>
      </w:r>
      <w:r>
        <w:rPr>
          <w:color w:val="000000"/>
          <w:sz w:val="28"/>
          <w:szCs w:val="28"/>
          <w:lang w:eastAsia="ru-RU"/>
        </w:rPr>
        <w:t>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D5FE0" w:rsidRDefault="005514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color w:val="000000"/>
          <w:sz w:val="28"/>
          <w:szCs w:val="28"/>
          <w:lang w:eastAsia="ru-RU"/>
        </w:rPr>
        <w:t>выставляется студенту, который прочно усвоил предусмотренный программный материал; правильно, арг</w:t>
      </w:r>
      <w:r>
        <w:rPr>
          <w:color w:val="000000"/>
          <w:sz w:val="28"/>
          <w:szCs w:val="28"/>
          <w:lang w:eastAsia="ru-RU"/>
        </w:rPr>
        <w:t>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</w:t>
      </w:r>
      <w:r>
        <w:rPr>
          <w:color w:val="000000"/>
          <w:sz w:val="28"/>
          <w:szCs w:val="28"/>
          <w:lang w:eastAsia="ru-RU"/>
        </w:rPr>
        <w:t xml:space="preserve">х предметов; без ошибок выполнил </w:t>
      </w:r>
      <w:proofErr w:type="gramStart"/>
      <w:r>
        <w:rPr>
          <w:color w:val="000000"/>
          <w:sz w:val="28"/>
          <w:szCs w:val="28"/>
          <w:lang w:eastAsia="ru-RU"/>
        </w:rPr>
        <w:t>практическое  задание</w:t>
      </w:r>
      <w:proofErr w:type="gramEnd"/>
      <w:r>
        <w:rPr>
          <w:color w:val="000000"/>
          <w:sz w:val="28"/>
          <w:szCs w:val="28"/>
          <w:lang w:eastAsia="ru-RU"/>
        </w:rPr>
        <w:t>.</w:t>
      </w:r>
    </w:p>
    <w:p w:rsidR="00CD5FE0" w:rsidRDefault="0055149C">
      <w:pPr>
        <w:spacing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упражнениях.</w:t>
      </w:r>
    </w:p>
    <w:p w:rsidR="00CD5FE0" w:rsidRDefault="005514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Оценка «не зач</w:t>
      </w:r>
      <w:r>
        <w:rPr>
          <w:b/>
          <w:color w:val="000000"/>
          <w:sz w:val="28"/>
          <w:szCs w:val="28"/>
          <w:lang w:eastAsia="ru-RU"/>
        </w:rPr>
        <w:t>тено»</w:t>
      </w:r>
      <w:r>
        <w:rPr>
          <w:color w:val="000000"/>
          <w:sz w:val="28"/>
          <w:szCs w:val="28"/>
          <w:lang w:eastAsia="ru-RU"/>
        </w:rPr>
        <w:t xml:space="preserve"> выставляется студенту, который не справился с 50% вопросов и заданий билета, в ответах на дополнительные вопросы допустил существенные ошибки.</w:t>
      </w:r>
    </w:p>
    <w:p w:rsidR="00CD5FE0" w:rsidRDefault="00CD5FE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CD5FE0" w:rsidRDefault="0055149C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3. Типовые контролирующие материалы</w:t>
      </w:r>
    </w:p>
    <w:p w:rsidR="00CD5FE0" w:rsidRDefault="00CD5FE0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3.1. Примеры тестовых вопросов</w:t>
      </w:r>
    </w:p>
    <w:p w:rsidR="00CD5FE0" w:rsidRDefault="00CD5FE0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определение </w:t>
      </w:r>
      <w:r>
        <w:rPr>
          <w:sz w:val="28"/>
          <w:szCs w:val="28"/>
        </w:rPr>
        <w:t>импульсного сигнала.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непрерывного сигнала.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периодического сигнала.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частота повторения импульсов?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периодических сигналов может содержать гармоническую составляющую с ча</w:t>
      </w:r>
      <w:r>
        <w:rPr>
          <w:sz w:val="28"/>
          <w:szCs w:val="28"/>
        </w:rPr>
        <w:t>стотой 75 Гц?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отношение периода повторения периодической последовательности прямоугольных видеоимпульсов к их длительности, если односторонний амплитудный спектр этого сигнала имеет вид.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составляющая периодической последовательности п</w:t>
      </w:r>
      <w:r>
        <w:rPr>
          <w:sz w:val="28"/>
          <w:szCs w:val="28"/>
        </w:rPr>
        <w:t xml:space="preserve">рямоугольных видеоимпульсов с амплитудой 10В, периодом следования импульсов 100мс и длительностью импульсов 20 </w:t>
      </w:r>
      <w:proofErr w:type="spellStart"/>
      <w:r>
        <w:rPr>
          <w:sz w:val="28"/>
          <w:szCs w:val="28"/>
        </w:rPr>
        <w:t>мс</w:t>
      </w:r>
      <w:proofErr w:type="spellEnd"/>
      <w:r>
        <w:rPr>
          <w:sz w:val="28"/>
          <w:szCs w:val="28"/>
        </w:rPr>
        <w:t>, равна?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Какому из представленных на рисунках периодических сигналов может соответствовать амплитудный спектр?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</w:t>
      </w:r>
      <w:r>
        <w:rPr>
          <w:sz w:val="28"/>
          <w:szCs w:val="28"/>
        </w:rPr>
        <w:t xml:space="preserve"> на рисунках спектров может соответствовать периодической последовательности прямоугольных видеоимпульсов длительностью 10мс и периодом 25мс?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</w:t>
      </w:r>
      <w:r>
        <w:rPr>
          <w:sz w:val="28"/>
          <w:szCs w:val="28"/>
        </w:rPr>
        <w:t>еских сигналов одинаковой амплитуды с частотами 10кГц и 50кГц?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гармонических сигналов одинаковой амплитуды с частотами 20кГц и 200кГц?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амплитудным спектром периодического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фазовым спектром периодического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спектральной характеристикой импульсного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активной длительностью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называется</w:t>
      </w:r>
      <w:proofErr w:type="gramEnd"/>
      <w:r>
        <w:rPr>
          <w:sz w:val="28"/>
          <w:szCs w:val="28"/>
        </w:rPr>
        <w:t xml:space="preserve"> активной шириной спектра </w:t>
      </w:r>
      <w:r>
        <w:rPr>
          <w:sz w:val="28"/>
          <w:szCs w:val="28"/>
        </w:rPr>
        <w:t>импульсного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связаны между собой активная длительность импульсного сигнала и активная ширина его спектра?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автокорреляционная функция импульсного сигнала?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энергетический спектр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связ</w:t>
      </w:r>
      <w:r>
        <w:rPr>
          <w:sz w:val="28"/>
          <w:szCs w:val="28"/>
        </w:rPr>
        <w:t>аны АКФ К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 xml:space="preserve">(τ) и энергетический спектр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Радиосигнал (высокочастотное модулированное колебание) получается путем?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модуляции соотношение между модулирующей частотой Ω и несущей частотой </w:t>
      </w:r>
      <w:proofErr w:type="spellStart"/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н</w:t>
      </w:r>
      <w:proofErr w:type="spellEnd"/>
      <w:r>
        <w:rPr>
          <w:sz w:val="28"/>
          <w:szCs w:val="28"/>
        </w:rPr>
        <w:t xml:space="preserve"> может быть?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>гармонической амплитудной модуляции несущего колебания ширина спектра радиосигнала равна?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АМ, если несущую частоту удвоить?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 при уменьшени</w:t>
      </w:r>
      <w:r>
        <w:rPr>
          <w:sz w:val="28"/>
          <w:szCs w:val="28"/>
        </w:rPr>
        <w:t>и в 2 раза частоты модуляции?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ширина спектра радиосигнала при амплитудной модуляции двумя гармоническими колебаниями с частотой 2кГц и 4кГц, если несущая частота равна 100кГц?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фазовой модуляции по закону </w:t>
      </w:r>
      <w:proofErr w:type="spellStart"/>
      <w:r>
        <w:rPr>
          <w:sz w:val="28"/>
          <w:szCs w:val="28"/>
          <w:lang w:val="en-US"/>
        </w:rPr>
        <w:t>cosΩt</w:t>
      </w:r>
      <w:proofErr w:type="spellEnd"/>
      <w:r>
        <w:rPr>
          <w:sz w:val="28"/>
          <w:szCs w:val="28"/>
        </w:rPr>
        <w:t xml:space="preserve"> аналитическое выр</w:t>
      </w:r>
      <w:r>
        <w:rPr>
          <w:sz w:val="28"/>
          <w:szCs w:val="28"/>
        </w:rPr>
        <w:t>ажение радиосигнала имеет вид?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частотной модуляции по закону </w:t>
      </w:r>
      <w:proofErr w:type="spellStart"/>
      <w:r>
        <w:rPr>
          <w:sz w:val="28"/>
          <w:szCs w:val="28"/>
          <w:lang w:val="en-US"/>
        </w:rPr>
        <w:t>cosΩt</w:t>
      </w:r>
      <w:proofErr w:type="spellEnd"/>
      <w:r>
        <w:rPr>
          <w:sz w:val="28"/>
          <w:szCs w:val="28"/>
        </w:rPr>
        <w:t xml:space="preserve"> аналитическое выражение радиосигнала имеет вид?</w:t>
      </w:r>
    </w:p>
    <w:p w:rsidR="00CD5FE0" w:rsidRDefault="0055149C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действительная (практическая) ширина спектра радиосигнала с гармонической угловой модуляцией?</w:t>
      </w:r>
    </w:p>
    <w:p w:rsidR="00CD5FE0" w:rsidRDefault="00CD5FE0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CD5FE0" w:rsidRDefault="00CD5FE0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CD5FE0" w:rsidRDefault="00CD5FE0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3.2. Примеры ко</w:t>
      </w:r>
      <w:r>
        <w:rPr>
          <w:b/>
          <w:sz w:val="28"/>
          <w:szCs w:val="28"/>
        </w:rPr>
        <w:t>нтрольных вопросов в лаборатории</w:t>
      </w:r>
    </w:p>
    <w:p w:rsidR="00CD5FE0" w:rsidRDefault="00CD5FE0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CD5FE0" w:rsidRDefault="0055149C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амплитудной характеристики усилителя.</w:t>
      </w:r>
    </w:p>
    <w:p w:rsidR="00CD5FE0" w:rsidRDefault="0055149C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параметры можно определить по амплитудной характеристике?</w:t>
      </w:r>
    </w:p>
    <w:p w:rsidR="00CD5FE0" w:rsidRDefault="0055149C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АЧХ усилителя.</w:t>
      </w:r>
    </w:p>
    <w:p w:rsidR="00CD5FE0" w:rsidRDefault="0055149C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параметры можно определить по АЧХ усилителя?</w:t>
      </w:r>
    </w:p>
    <w:p w:rsidR="00CD5FE0" w:rsidRDefault="0055149C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>
        <w:rPr>
          <w:sz w:val="28"/>
          <w:szCs w:val="28"/>
        </w:rPr>
        <w:t>основные параметры и характеристики резонансного усилителя.</w:t>
      </w:r>
    </w:p>
    <w:p w:rsidR="00CD5FE0" w:rsidRDefault="00CD5FE0">
      <w:pPr>
        <w:tabs>
          <w:tab w:val="left" w:pos="1138"/>
        </w:tabs>
        <w:spacing w:line="240" w:lineRule="auto"/>
        <w:ind w:left="540" w:firstLine="0"/>
        <w:rPr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Полный перечень вопросов   содержится в методических указаниях к лабораторным работам.</w:t>
      </w:r>
    </w:p>
    <w:p w:rsidR="00CD5FE0" w:rsidRDefault="00CD5FE0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3.3. Вопросы к зачету</w:t>
      </w: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</w:p>
    <w:p w:rsidR="00CD5FE0" w:rsidRDefault="00CD5FE0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1.1.</w:t>
      </w:r>
    </w:p>
    <w:p w:rsidR="00CD5FE0" w:rsidRDefault="0055149C">
      <w:pPr>
        <w:tabs>
          <w:tab w:val="left" w:pos="1138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Введение</w:t>
      </w:r>
    </w:p>
    <w:p w:rsidR="00CD5FE0" w:rsidRDefault="00CD5FE0">
      <w:pPr>
        <w:tabs>
          <w:tab w:val="left" w:pos="1138"/>
        </w:tabs>
        <w:spacing w:line="240" w:lineRule="auto"/>
        <w:jc w:val="both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11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радиотехники. </w:t>
      </w:r>
    </w:p>
    <w:p w:rsidR="00CD5FE0" w:rsidRDefault="0055149C">
      <w:pPr>
        <w:pStyle w:val="af"/>
        <w:numPr>
          <w:ilvl w:val="0"/>
          <w:numId w:val="11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и области е</w:t>
      </w:r>
      <w:r>
        <w:rPr>
          <w:sz w:val="28"/>
          <w:szCs w:val="28"/>
        </w:rPr>
        <w:t>е применения.</w:t>
      </w:r>
    </w:p>
    <w:p w:rsidR="00CD5FE0" w:rsidRDefault="00CD5FE0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1.2</w:t>
      </w:r>
    </w:p>
    <w:p w:rsidR="00CD5FE0" w:rsidRDefault="00CD5FE0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Детерминированные сигналы и их основные характеристики.</w:t>
      </w:r>
    </w:p>
    <w:p w:rsidR="00CD5FE0" w:rsidRDefault="00CD5FE0">
      <w:pPr>
        <w:jc w:val="center"/>
        <w:rPr>
          <w:sz w:val="28"/>
          <w:szCs w:val="28"/>
        </w:rPr>
      </w:pP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Понятие колебания и сигнала. Классификация сигналов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Разложение колебания по системе ортогональных функций</w:t>
      </w:r>
      <w:r>
        <w:rPr>
          <w:sz w:val="28"/>
          <w:szCs w:val="28"/>
        </w:rPr>
        <w:t>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Гармонический анализ периодического колебания (разложение </w:t>
      </w:r>
    </w:p>
    <w:p w:rsidR="00CD5FE0" w:rsidRDefault="0055149C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периодического колебания в ряд Фурье по тригонометрическим функциям)</w:t>
      </w:r>
      <w:r>
        <w:rPr>
          <w:sz w:val="28"/>
          <w:szCs w:val="28"/>
        </w:rPr>
        <w:t>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Представление периодического колебания рядом Фурье в комплексной форме.</w:t>
      </w:r>
    </w:p>
    <w:p w:rsidR="00CD5FE0" w:rsidRDefault="0055149C">
      <w:pPr>
        <w:pStyle w:val="af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Спектральный анализ импульсного колебания. Прямое и обратное </w:t>
      </w:r>
    </w:p>
    <w:p w:rsidR="00CD5FE0" w:rsidRDefault="0055149C">
      <w:pPr>
        <w:pStyle w:val="af"/>
        <w:spacing w:line="240" w:lineRule="auto"/>
        <w:ind w:firstLine="0"/>
        <w:rPr>
          <w:sz w:val="28"/>
        </w:rPr>
      </w:pPr>
      <w:r>
        <w:rPr>
          <w:sz w:val="28"/>
        </w:rPr>
        <w:t>преобразование Фурье.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Свойства преобразования Фурье.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105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>Распределение энергии в спектре импульсного колебания.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Соотношение между длительностью импульса и шириной его спектра.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Примеры вычисления спектральной характеристики некоторых импульсных сигналов. </w:t>
      </w:r>
    </w:p>
    <w:p w:rsidR="00CD5FE0" w:rsidRDefault="0055149C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  <w:szCs w:val="28"/>
        </w:rPr>
      </w:pPr>
      <w:r>
        <w:rPr>
          <w:sz w:val="28"/>
        </w:rPr>
        <w:t>Корреляционный анализ импульсного колебания.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Связь АКФ им</w:t>
      </w:r>
      <w:r>
        <w:rPr>
          <w:sz w:val="28"/>
        </w:rPr>
        <w:t>пульса с его спектральной характеристикой.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Понятие взаимной корреляционной функции импульсного колебания </w:t>
      </w:r>
    </w:p>
    <w:p w:rsidR="00CD5FE0" w:rsidRDefault="0055149C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(ВКФ).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дискретного сигнала. Математическое описание. Спектральные представления.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Связь спектральных характеристик дискретного и аналогового с</w:t>
      </w:r>
      <w:r>
        <w:rPr>
          <w:sz w:val="28"/>
          <w:szCs w:val="28"/>
        </w:rPr>
        <w:t>игналов.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аналогового сигнала по его дискретным отсчетам. Теория Котельникова. 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Радиосигнал, как колебание с медленно меняющимися огибающей и</w:t>
      </w:r>
    </w:p>
    <w:p w:rsidR="00CD5FE0" w:rsidRDefault="0055149C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фазой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амплитудной модуляцией (АМ). Гармоническая АМ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 Распределение мощности в </w:t>
      </w:r>
      <w:r>
        <w:rPr>
          <w:sz w:val="28"/>
        </w:rPr>
        <w:t>спектре радиосигнала с гармонической АМ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 несколькими гармоническими колебаниями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 импульсным колебанием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Понятие угловой модуляции. ЧМК и ФМК. Радиосигнал с</w:t>
      </w:r>
      <w:r>
        <w:rPr>
          <w:sz w:val="28"/>
          <w:szCs w:val="28"/>
        </w:rPr>
        <w:t xml:space="preserve"> </w:t>
      </w:r>
      <w:r>
        <w:rPr>
          <w:sz w:val="28"/>
        </w:rPr>
        <w:t>гармонической угловой модуляцией (УМ)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Спектр радиосигнала с гармо</w:t>
      </w:r>
      <w:r>
        <w:rPr>
          <w:sz w:val="28"/>
        </w:rPr>
        <w:t>нической угловой модуляцией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Применение преобразование Гильберта для однозначного определения</w:t>
      </w:r>
    </w:p>
    <w:p w:rsidR="00CD5FE0" w:rsidRDefault="0055149C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огибающей, частоты и фазы радиосигнала</w:t>
      </w:r>
      <w:r>
        <w:rPr>
          <w:sz w:val="28"/>
          <w:szCs w:val="28"/>
        </w:rPr>
        <w:t>.</w:t>
      </w:r>
    </w:p>
    <w:p w:rsidR="00CD5FE0" w:rsidRDefault="0055149C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Комплексное представление радиосигнала. Аналитический сигнал и его свойства</w:t>
      </w:r>
      <w:r>
        <w:rPr>
          <w:sz w:val="28"/>
          <w:szCs w:val="28"/>
        </w:rPr>
        <w:t>.</w:t>
      </w:r>
    </w:p>
    <w:p w:rsidR="00CD5FE0" w:rsidRDefault="00CD5FE0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D5FE0" w:rsidRDefault="0055149C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1.3</w:t>
      </w:r>
    </w:p>
    <w:p w:rsidR="00CD5FE0" w:rsidRDefault="0055149C">
      <w:pPr>
        <w:widowControl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u w:val="single"/>
        </w:rPr>
        <w:t>Прохождение детерминированного си</w:t>
      </w:r>
      <w:r>
        <w:rPr>
          <w:sz w:val="28"/>
          <w:u w:val="single"/>
        </w:rPr>
        <w:t>гнала через линейную радиотехническую цепь (РТЦ)</w:t>
      </w:r>
    </w:p>
    <w:p w:rsidR="00CD5FE0" w:rsidRDefault="00CD5FE0">
      <w:pPr>
        <w:widowControl/>
        <w:spacing w:line="240" w:lineRule="auto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6"/>
        </w:numPr>
        <w:tabs>
          <w:tab w:val="left" w:pos="102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>Понятие линейной РТЦ. Основные параметры и характеристики.</w:t>
      </w:r>
    </w:p>
    <w:p w:rsidR="00CD5FE0" w:rsidRDefault="0055149C">
      <w:pPr>
        <w:pStyle w:val="af"/>
        <w:numPr>
          <w:ilvl w:val="0"/>
          <w:numId w:val="6"/>
        </w:numPr>
        <w:tabs>
          <w:tab w:val="left" w:pos="102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>Основные методы анализа прохождения детерминированного сигнала через линейную цепь.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Условия неискаженного прохождения детерминированного сигнала</w:t>
      </w:r>
    </w:p>
    <w:p w:rsidR="00CD5FE0" w:rsidRDefault="0055149C">
      <w:pPr>
        <w:pStyle w:val="af"/>
        <w:spacing w:line="240" w:lineRule="auto"/>
        <w:ind w:left="1080" w:firstLine="0"/>
      </w:pPr>
      <w:r>
        <w:rPr>
          <w:sz w:val="28"/>
        </w:rPr>
        <w:t>че</w:t>
      </w:r>
      <w:r>
        <w:rPr>
          <w:sz w:val="28"/>
        </w:rPr>
        <w:t>рез линейную РТЦ.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 xml:space="preserve">Понятие усиления колебания. Схемы замещения линейного </w:t>
      </w:r>
      <w:proofErr w:type="spellStart"/>
      <w:r>
        <w:rPr>
          <w:sz w:val="28"/>
        </w:rPr>
        <w:t>силиителя</w:t>
      </w:r>
      <w:proofErr w:type="spellEnd"/>
      <w:r>
        <w:rPr>
          <w:sz w:val="28"/>
        </w:rPr>
        <w:t>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Линейный апериодический усилитель и его основные характеристики.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прямоугольного видеоимпульса через апериодический усилитель.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Линейный резонансный усилитель (РУ)</w:t>
      </w:r>
      <w:r>
        <w:rPr>
          <w:sz w:val="28"/>
        </w:rPr>
        <w:t xml:space="preserve"> и его основные характеристики.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 xml:space="preserve">Прохождение радиосигнала с гармонической АМ через линейный 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резонансный усилитель.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Прохождение прямоугольного радиоимпульса через линейный резонансный усилитель.</w:t>
      </w:r>
    </w:p>
    <w:p w:rsidR="00CD5FE0" w:rsidRDefault="0055149C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Линейный усилитель с обратной связью (ОС). Влияние ОС на </w:t>
      </w:r>
      <w:r>
        <w:rPr>
          <w:sz w:val="28"/>
          <w:szCs w:val="28"/>
        </w:rPr>
        <w:t>основные характеристики усилителя</w:t>
      </w:r>
      <w:r>
        <w:rPr>
          <w:sz w:val="28"/>
        </w:rPr>
        <w:t>.</w:t>
      </w:r>
    </w:p>
    <w:p w:rsidR="00CD5FE0" w:rsidRDefault="00CD5FE0">
      <w:pPr>
        <w:spacing w:line="240" w:lineRule="auto"/>
        <w:jc w:val="center"/>
        <w:rPr>
          <w:sz w:val="28"/>
        </w:rPr>
      </w:pPr>
    </w:p>
    <w:p w:rsidR="00CD5FE0" w:rsidRDefault="0055149C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1.4</w:t>
      </w:r>
    </w:p>
    <w:p w:rsidR="00CD5FE0" w:rsidRDefault="0055149C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Нелинейные РТЦ. Методы анализа. Применение.</w:t>
      </w:r>
    </w:p>
    <w:p w:rsidR="00CD5FE0" w:rsidRDefault="00CD5FE0">
      <w:pPr>
        <w:spacing w:line="240" w:lineRule="auto"/>
        <w:rPr>
          <w:sz w:val="28"/>
        </w:rPr>
      </w:pP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Понятие нелинейной РТЦ. Нелинейные элементы и методы аппроксимации их характеристик.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 xml:space="preserve">Преобразование спектра сигнала нелинейным резистивным элементом (Аппроксимация </w:t>
      </w:r>
      <w:r>
        <w:rPr>
          <w:sz w:val="28"/>
        </w:rPr>
        <w:t>ВАХ степенным полиномом).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Преобразование спектра сигнала нелинейным резистивным элементом (кусочно-линейная аппроксимация).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Нелинейное резонансное усиление колебаний.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 xml:space="preserve">Применение нелинейной РТЦ для умножения частоты колебаний </w:t>
      </w:r>
    </w:p>
    <w:p w:rsidR="00CD5FE0" w:rsidRDefault="0055149C">
      <w:pPr>
        <w:pStyle w:val="af"/>
        <w:spacing w:line="240" w:lineRule="auto"/>
        <w:ind w:left="1080" w:firstLine="0"/>
      </w:pPr>
      <w:r>
        <w:rPr>
          <w:sz w:val="28"/>
        </w:rPr>
        <w:t>(умножитель частоты).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</w:t>
      </w:r>
      <w:r>
        <w:rPr>
          <w:sz w:val="28"/>
        </w:rPr>
        <w:t xml:space="preserve">ие нелинейной РТЦ для получения АМК (амплитудный </w:t>
      </w:r>
    </w:p>
    <w:p w:rsidR="00CD5FE0" w:rsidRDefault="0055149C">
      <w:pPr>
        <w:pStyle w:val="af"/>
        <w:spacing w:line="240" w:lineRule="auto"/>
        <w:ind w:left="1080" w:firstLine="0"/>
        <w:rPr>
          <w:sz w:val="28"/>
        </w:rPr>
      </w:pPr>
      <w:r>
        <w:rPr>
          <w:sz w:val="28"/>
        </w:rPr>
        <w:t xml:space="preserve">модулятор смещения). 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АМК.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ФМК (фазовый детектор).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ЧМК.</w:t>
      </w:r>
    </w:p>
    <w:p w:rsidR="00CD5FE0" w:rsidRDefault="0055149C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 xml:space="preserve">Применение </w:t>
      </w:r>
      <w:r>
        <w:rPr>
          <w:sz w:val="28"/>
        </w:rPr>
        <w:t>нелинейной РТЦ для преобразования частоты сигнал.</w:t>
      </w:r>
    </w:p>
    <w:p w:rsidR="00CD5FE0" w:rsidRDefault="00CD5FE0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CD5FE0" w:rsidRDefault="0055149C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3.4. Вопросы к экзамену</w:t>
      </w: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</w:t>
      </w:r>
    </w:p>
    <w:p w:rsidR="00CD5FE0" w:rsidRDefault="0055149C">
      <w:pPr>
        <w:tabs>
          <w:tab w:val="left" w:pos="1138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2.1</w:t>
      </w:r>
    </w:p>
    <w:p w:rsidR="00CD5FE0" w:rsidRDefault="0055149C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Генерирование гармонических сигналов</w:t>
      </w:r>
    </w:p>
    <w:p w:rsidR="00CD5FE0" w:rsidRDefault="00CD5FE0">
      <w:pPr>
        <w:jc w:val="center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Понятие </w:t>
      </w:r>
      <w:proofErr w:type="spellStart"/>
      <w:r>
        <w:rPr>
          <w:sz w:val="28"/>
          <w:szCs w:val="28"/>
        </w:rPr>
        <w:t>автогенерации</w:t>
      </w:r>
      <w:proofErr w:type="spellEnd"/>
      <w:r>
        <w:rPr>
          <w:sz w:val="28"/>
          <w:szCs w:val="28"/>
        </w:rPr>
        <w:t>. Структурная схема автогенератора гармонических колебаний с внешней обратной связью.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элек</w:t>
      </w:r>
      <w:r>
        <w:rPr>
          <w:sz w:val="28"/>
          <w:szCs w:val="28"/>
        </w:rPr>
        <w:t xml:space="preserve">трические схемы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гармонических колебаний с внешней ОС.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Условия возбуждения колебаний в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внешней ОС.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Переход к стационарному режиму работы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внешней ОС. Нахождение амплитуды и частоты колебаний в стационарном режиме.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Мягкий и жесткий режим</w:t>
      </w:r>
      <w:r>
        <w:rPr>
          <w:sz w:val="28"/>
          <w:szCs w:val="28"/>
        </w:rPr>
        <w:t>ы работы АГ с внешней ОС.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-АГ гармонических колебаний.</w:t>
      </w:r>
    </w:p>
    <w:p w:rsidR="00CD5FE0" w:rsidRDefault="0055149C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внутренней ОС (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на туннельном диоде или любом двухполюснике с отрицательным дифференциальном сопротивлении).</w:t>
      </w: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Раздел 2.2 </w:t>
      </w: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Случайные сигналы</w:t>
      </w:r>
    </w:p>
    <w:p w:rsidR="00CD5FE0" w:rsidRDefault="00CD5FE0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случайного сигнала (СС) и применение д</w:t>
      </w:r>
      <w:r>
        <w:rPr>
          <w:sz w:val="28"/>
          <w:szCs w:val="28"/>
        </w:rPr>
        <w:t>ля его описания законов распределения и неслучайных числовых характеристик закона распределения.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Стационарность и эргодичность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автокорреляционной функции (АКФ) случайного сигнала.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Свойства АКФ стационарного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Энергетический спектр </w:t>
      </w:r>
      <w:r>
        <w:rPr>
          <w:sz w:val="28"/>
          <w:szCs w:val="28"/>
        </w:rPr>
        <w:t>стационарного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Соотношение между шириной энергетического спектра и интервалом корреляции стационарного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Нахождение (вычисление) энергетического спектра эргодического СС по амплитудному спектру его реализации.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Гауссовский</w:t>
      </w:r>
      <w:proofErr w:type="spellEnd"/>
      <w:r>
        <w:rPr>
          <w:sz w:val="28"/>
          <w:szCs w:val="28"/>
        </w:rPr>
        <w:t xml:space="preserve"> (нормальны</w:t>
      </w:r>
      <w:r>
        <w:rPr>
          <w:sz w:val="28"/>
          <w:szCs w:val="28"/>
        </w:rPr>
        <w:t>й) СС.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Модель СС в виде «белого шума».</w:t>
      </w:r>
    </w:p>
    <w:p w:rsidR="00CD5FE0" w:rsidRDefault="0055149C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Узкополосный СС. Закон распределения его огибающей и фазы.</w:t>
      </w:r>
    </w:p>
    <w:p w:rsidR="00CD5FE0" w:rsidRDefault="00CD5FE0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2.3</w:t>
      </w: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Линейная фильтрация СС (прохождение СС через линейную РТЦ)</w:t>
      </w:r>
    </w:p>
    <w:p w:rsidR="00CD5FE0" w:rsidRDefault="00CD5FE0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задачи прохождения СС через линейную РТЦ. Закон распределения СС на выходе</w:t>
      </w:r>
      <w:r>
        <w:rPr>
          <w:sz w:val="28"/>
          <w:szCs w:val="28"/>
        </w:rPr>
        <w:t xml:space="preserve"> линейной РТЦ.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Математическое ожидание СС на выходе линейной цепи.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Энергетический спектр СС на выходе линейной цепи.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АКФ и дисперсия СС на выходе линейной РТЦ.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оптимальной линейной фильтрации. Частотные характери</w:t>
      </w:r>
      <w:r>
        <w:rPr>
          <w:sz w:val="28"/>
          <w:szCs w:val="28"/>
        </w:rPr>
        <w:lastRenderedPageBreak/>
        <w:t>стики оптимального линейного фильтра</w:t>
      </w:r>
      <w:r>
        <w:rPr>
          <w:sz w:val="28"/>
          <w:szCs w:val="28"/>
        </w:rPr>
        <w:t>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Импульсная характеристика оптимального (согласованного) линейного фильтра.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Сигнал и шум на выходе оптимального фильтра.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Выигрыш в отношении сигнал-шум при оптимальной линейной фильтрации.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одиночным прямоугольным</w:t>
      </w:r>
      <w:r>
        <w:rPr>
          <w:sz w:val="28"/>
          <w:szCs w:val="28"/>
        </w:rPr>
        <w:t xml:space="preserve"> видеоимпульсом (ФСОВИ).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одиночным прямоугольным радиоимпульсом (ФСОРИ).</w:t>
      </w:r>
    </w:p>
    <w:p w:rsidR="00CD5FE0" w:rsidRDefault="0055149C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ФКМ-импульсом</w:t>
      </w:r>
    </w:p>
    <w:p w:rsidR="00CD5FE0" w:rsidRDefault="00CD5FE0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2.4</w:t>
      </w:r>
    </w:p>
    <w:p w:rsidR="00CD5FE0" w:rsidRDefault="0055149C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Прохождение случайного сигнала через нелинейную РТЦ</w:t>
      </w:r>
    </w:p>
    <w:p w:rsidR="00CD5FE0" w:rsidRDefault="00CD5FE0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CD5FE0" w:rsidRDefault="0055149C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задачи.</w:t>
      </w:r>
    </w:p>
    <w:p w:rsidR="00CD5FE0" w:rsidRDefault="0055149C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одномерного закона распределения случайного сигнала нелинейным </w:t>
      </w:r>
      <w:proofErr w:type="spellStart"/>
      <w:r>
        <w:rPr>
          <w:sz w:val="28"/>
          <w:szCs w:val="28"/>
        </w:rPr>
        <w:t>безинерционным</w:t>
      </w:r>
      <w:proofErr w:type="spellEnd"/>
      <w:r>
        <w:rPr>
          <w:sz w:val="28"/>
          <w:szCs w:val="28"/>
        </w:rPr>
        <w:t xml:space="preserve"> элементом.</w:t>
      </w:r>
    </w:p>
    <w:p w:rsidR="00CD5FE0" w:rsidRDefault="0055149C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узкополосного нормального шума через амплитудный детектор.</w:t>
      </w:r>
    </w:p>
    <w:p w:rsidR="00CD5FE0" w:rsidRDefault="0055149C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Отношение сигнал-шум на выходе амплитудного детектора.</w:t>
      </w:r>
    </w:p>
    <w:p w:rsidR="00CD5FE0" w:rsidRDefault="00CD5FE0">
      <w:pPr>
        <w:widowControl/>
        <w:spacing w:line="240" w:lineRule="auto"/>
        <w:ind w:left="1070" w:firstLine="0"/>
        <w:rPr>
          <w:sz w:val="28"/>
          <w:szCs w:val="28"/>
        </w:rPr>
      </w:pPr>
    </w:p>
    <w:p w:rsidR="00CD5FE0" w:rsidRDefault="00CD5FE0">
      <w:pPr>
        <w:pStyle w:val="ab"/>
        <w:widowControl w:val="0"/>
        <w:rPr>
          <w:szCs w:val="28"/>
        </w:rPr>
      </w:pPr>
    </w:p>
    <w:p w:rsidR="00CD5FE0" w:rsidRDefault="00CD5FE0">
      <w:pPr>
        <w:pStyle w:val="ab"/>
        <w:widowControl w:val="0"/>
        <w:rPr>
          <w:szCs w:val="28"/>
        </w:rPr>
      </w:pPr>
    </w:p>
    <w:p w:rsidR="00CD5FE0" w:rsidRDefault="00CD5FE0">
      <w:pPr>
        <w:pStyle w:val="ab"/>
        <w:widowControl w:val="0"/>
        <w:rPr>
          <w:szCs w:val="28"/>
        </w:rPr>
      </w:pPr>
    </w:p>
    <w:p w:rsidR="00CD5FE0" w:rsidRDefault="00CD5FE0">
      <w:pPr>
        <w:pStyle w:val="ab"/>
        <w:widowControl w:val="0"/>
        <w:tabs>
          <w:tab w:val="left" w:pos="5670"/>
          <w:tab w:val="right" w:pos="9638"/>
        </w:tabs>
        <w:rPr>
          <w:szCs w:val="28"/>
        </w:rPr>
      </w:pPr>
      <w:bookmarkStart w:id="0" w:name="_GoBack"/>
      <w:bookmarkEnd w:id="0"/>
    </w:p>
    <w:sectPr w:rsidR="00CD5FE0">
      <w:footerReference w:type="default" r:id="rId8"/>
      <w:pgSz w:w="11906" w:h="16838"/>
      <w:pgMar w:top="1134" w:right="851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9C" w:rsidRDefault="0055149C">
      <w:pPr>
        <w:spacing w:line="240" w:lineRule="auto"/>
      </w:pPr>
      <w:r>
        <w:separator/>
      </w:r>
    </w:p>
  </w:endnote>
  <w:endnote w:type="continuationSeparator" w:id="0">
    <w:p w:rsidR="0055149C" w:rsidRDefault="00551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FE0" w:rsidRDefault="0055149C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722103">
      <w:rPr>
        <w:noProof/>
      </w:rPr>
      <w:t>11</w:t>
    </w:r>
    <w:r>
      <w:fldChar w:fldCharType="end"/>
    </w:r>
  </w:p>
  <w:p w:rsidR="00CD5FE0" w:rsidRDefault="00CD5F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9C" w:rsidRDefault="0055149C">
      <w:pPr>
        <w:spacing w:line="240" w:lineRule="auto"/>
      </w:pPr>
      <w:r>
        <w:separator/>
      </w:r>
    </w:p>
  </w:footnote>
  <w:footnote w:type="continuationSeparator" w:id="0">
    <w:p w:rsidR="0055149C" w:rsidRDefault="005514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5A7"/>
    <w:multiLevelType w:val="multilevel"/>
    <w:tmpl w:val="542CA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D36784"/>
    <w:multiLevelType w:val="multilevel"/>
    <w:tmpl w:val="E3E6805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" w15:restartNumberingAfterBreak="0">
    <w:nsid w:val="2CF20241"/>
    <w:multiLevelType w:val="multilevel"/>
    <w:tmpl w:val="54BC3B9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3" w15:restartNumberingAfterBreak="0">
    <w:nsid w:val="2D380C3F"/>
    <w:multiLevelType w:val="multilevel"/>
    <w:tmpl w:val="2306E6E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31135E08"/>
    <w:multiLevelType w:val="multilevel"/>
    <w:tmpl w:val="501485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32C452F3"/>
    <w:multiLevelType w:val="multilevel"/>
    <w:tmpl w:val="04128590"/>
    <w:lvl w:ilvl="0">
      <w:start w:val="1"/>
      <w:numFmt w:val="decimal"/>
      <w:lvlText w:val="%1."/>
      <w:lvlJc w:val="left"/>
      <w:pPr>
        <w:tabs>
          <w:tab w:val="num" w:pos="0"/>
        </w:tabs>
        <w:ind w:left="1985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3A410DBF"/>
    <w:multiLevelType w:val="multilevel"/>
    <w:tmpl w:val="FF2496A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7" w15:restartNumberingAfterBreak="0">
    <w:nsid w:val="3A6C749B"/>
    <w:multiLevelType w:val="multilevel"/>
    <w:tmpl w:val="820EB69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704545C8"/>
    <w:multiLevelType w:val="multilevel"/>
    <w:tmpl w:val="A9F0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C35A6A"/>
    <w:multiLevelType w:val="multilevel"/>
    <w:tmpl w:val="BEE852A8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0" w15:restartNumberingAfterBreak="0">
    <w:nsid w:val="74261970"/>
    <w:multiLevelType w:val="multilevel"/>
    <w:tmpl w:val="0FC8CD2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E0"/>
    <w:rsid w:val="0055149C"/>
    <w:rsid w:val="00722103"/>
    <w:rsid w:val="00CD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4C89"/>
  <w15:docId w15:val="{88190614-AF29-4D8F-BE9B-75BD361E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uiPriority w:val="99"/>
    <w:semiHidden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95D6C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1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iPriority w:val="99"/>
    <w:semiHidden/>
    <w:unhideWhenUsed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"/>
    <w:next w:val="ab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table" w:styleId="af8">
    <w:name w:val="Table Grid"/>
    <w:basedOn w:val="a1"/>
    <w:uiPriority w:val="59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754A4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B7A1-DB5A-498B-9A90-EC322983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2615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2</cp:revision>
  <cp:lastPrinted>2018-01-10T05:25:00Z</cp:lastPrinted>
  <dcterms:created xsi:type="dcterms:W3CDTF">2023-09-19T08:13:00Z</dcterms:created>
  <dcterms:modified xsi:type="dcterms:W3CDTF">2023-09-19T08:13:00Z</dcterms:modified>
  <dc:language>ru-RU</dc:language>
</cp:coreProperties>
</file>