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15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4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Автоматизация технологических процессов и производств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</w:t>
      </w:r>
      <w:r>
        <w:rPr>
          <w:kern w:val="2"/>
          <w:sz w:val="28"/>
          <w:szCs w:val="28"/>
          <w:lang w:val="en-US"/>
        </w:rPr>
        <w:t>2</w:t>
      </w:r>
      <w:r>
        <w:rPr>
          <w:kern w:val="2"/>
          <w:sz w:val="28"/>
          <w:szCs w:val="28"/>
        </w:rPr>
        <w:t xml:space="preserve">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89"/>
        <w:gridCol w:w="1845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6"/>
        <w:gridCol w:w="7939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6"/>
        <w:gridCol w:w="1421"/>
        <w:gridCol w:w="6519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0617046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fals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10</Pages>
  <Words>3128</Words>
  <Characters>22701</Characters>
  <CharactersWithSpaces>25636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2023-09-22T13:48:29Z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