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3045B82C" w:rsidR="00023C34" w:rsidRPr="00023C34" w:rsidRDefault="00C579A0" w:rsidP="00AA0B8F">
      <w:pPr>
        <w:pStyle w:val="a5"/>
        <w:ind w:firstLine="567"/>
        <w:jc w:val="center"/>
        <w:rPr>
          <w:b/>
          <w:bCs/>
          <w:i/>
          <w:iCs/>
          <w:sz w:val="40"/>
          <w:szCs w:val="40"/>
        </w:rPr>
      </w:pPr>
      <w:bookmarkStart w:id="0" w:name="_GoBack"/>
      <w:r>
        <w:rPr>
          <w:b/>
          <w:bCs/>
          <w:i/>
          <w:iCs/>
          <w:sz w:val="40"/>
          <w:szCs w:val="40"/>
        </w:rPr>
        <w:t>Оптико-электронные приборы и системы</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C579A0">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C223D6"/>
    <w:rsid w:val="00C30DE1"/>
    <w:rsid w:val="00C47864"/>
    <w:rsid w:val="00C579A0"/>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4882</Words>
  <Characters>27833</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2023-09-29T12:50:00Z</dcterms:modified>
</cp:coreProperties>
</file>