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D61D1B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D61D1B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3D48FA" w:rsidRPr="003D48FA" w:rsidRDefault="003D48FA" w:rsidP="003D48FA">
      <w:pPr>
        <w:widowControl w:val="0"/>
        <w:suppressAutoHyphens/>
        <w:contextualSpacing/>
        <w:jc w:val="center"/>
        <w:rPr>
          <w:rFonts w:eastAsia="Calibri"/>
          <w:sz w:val="28"/>
          <w:lang w:eastAsia="ar-SA"/>
        </w:rPr>
      </w:pPr>
      <w:r w:rsidRPr="003D48FA">
        <w:rPr>
          <w:rFonts w:eastAsia="Calibri"/>
          <w:sz w:val="28"/>
          <w:lang w:eastAsia="ar-SA"/>
        </w:rPr>
        <w:t xml:space="preserve">Направление подготовки: </w:t>
      </w:r>
    </w:p>
    <w:p w:rsidR="003D48FA" w:rsidRPr="003D48FA" w:rsidRDefault="003D48FA" w:rsidP="003D48FA">
      <w:pPr>
        <w:widowControl w:val="0"/>
        <w:suppressAutoHyphens/>
        <w:contextualSpacing/>
        <w:jc w:val="center"/>
        <w:rPr>
          <w:rFonts w:eastAsia="Calibri"/>
          <w:b/>
          <w:sz w:val="28"/>
          <w:lang w:eastAsia="ar-SA"/>
        </w:rPr>
      </w:pPr>
      <w:r w:rsidRPr="003D48FA">
        <w:rPr>
          <w:rFonts w:eastAsia="Calibri"/>
          <w:b/>
          <w:sz w:val="28"/>
          <w:lang w:eastAsia="ar-SA"/>
        </w:rPr>
        <w:t>09.05.01 «Применение и эксплуатация автоматизированных систем специального назначения»</w:t>
      </w:r>
    </w:p>
    <w:p w:rsidR="003D48FA" w:rsidRPr="003D48FA" w:rsidRDefault="003D48FA" w:rsidP="003D48FA">
      <w:pPr>
        <w:widowControl w:val="0"/>
        <w:jc w:val="center"/>
        <w:rPr>
          <w:b/>
          <w:color w:val="000000"/>
          <w:sz w:val="28"/>
          <w:szCs w:val="16"/>
        </w:rPr>
      </w:pPr>
    </w:p>
    <w:p w:rsidR="003D48FA" w:rsidRPr="003D48FA" w:rsidRDefault="003D48FA" w:rsidP="003D48FA">
      <w:pPr>
        <w:widowControl w:val="0"/>
        <w:ind w:left="5"/>
        <w:jc w:val="center"/>
        <w:rPr>
          <w:b/>
          <w:color w:val="000000"/>
          <w:sz w:val="28"/>
        </w:rPr>
      </w:pPr>
      <w:r w:rsidRPr="003D48FA">
        <w:rPr>
          <w:color w:val="000000"/>
          <w:sz w:val="28"/>
        </w:rPr>
        <w:t>Профиль подготовки</w:t>
      </w:r>
      <w:r w:rsidRPr="003D48FA">
        <w:rPr>
          <w:b/>
          <w:color w:val="000000"/>
          <w:sz w:val="28"/>
        </w:rPr>
        <w:t xml:space="preserve">: </w:t>
      </w:r>
    </w:p>
    <w:p w:rsidR="003D48FA" w:rsidRPr="003D48FA" w:rsidRDefault="003D48FA" w:rsidP="003D48FA">
      <w:pPr>
        <w:widowControl w:val="0"/>
        <w:ind w:left="5"/>
        <w:jc w:val="center"/>
        <w:rPr>
          <w:b/>
          <w:color w:val="000000"/>
          <w:sz w:val="28"/>
        </w:rPr>
      </w:pPr>
      <w:r w:rsidRPr="003D48FA">
        <w:rPr>
          <w:b/>
          <w:color w:val="000000"/>
          <w:sz w:val="28"/>
        </w:rPr>
        <w:t>«</w:t>
      </w:r>
      <w:r w:rsidR="00F05C5C" w:rsidRPr="00F05C5C">
        <w:rPr>
          <w:b/>
          <w:color w:val="000000"/>
          <w:sz w:val="28"/>
        </w:rPr>
        <w:t>Математическое, программное и информационное обеспечение вычислительной техники и автоматизированных</w:t>
      </w:r>
      <w:r w:rsidR="00F05C5C">
        <w:rPr>
          <w:b/>
          <w:color w:val="000000"/>
          <w:sz w:val="28"/>
        </w:rPr>
        <w:t xml:space="preserve"> систем</w:t>
      </w:r>
      <w:r w:rsidRPr="003D48FA">
        <w:rPr>
          <w:b/>
          <w:color w:val="000000"/>
          <w:sz w:val="28"/>
        </w:rPr>
        <w:t xml:space="preserve">» </w:t>
      </w:r>
    </w:p>
    <w:p w:rsidR="003D48FA" w:rsidRPr="003D48FA" w:rsidRDefault="003D48FA" w:rsidP="003D48FA">
      <w:pPr>
        <w:widowControl w:val="0"/>
        <w:ind w:left="5"/>
        <w:jc w:val="center"/>
        <w:rPr>
          <w:b/>
          <w:color w:val="000000"/>
          <w:sz w:val="28"/>
        </w:rPr>
      </w:pPr>
    </w:p>
    <w:p w:rsidR="003D48FA" w:rsidRPr="003D48FA" w:rsidRDefault="003D48FA" w:rsidP="003D48FA">
      <w:pPr>
        <w:widowControl w:val="0"/>
        <w:ind w:left="5"/>
        <w:jc w:val="center"/>
        <w:rPr>
          <w:b/>
          <w:color w:val="000000"/>
          <w:sz w:val="28"/>
        </w:rPr>
      </w:pPr>
      <w:r w:rsidRPr="003D48FA">
        <w:rPr>
          <w:color w:val="000000"/>
          <w:sz w:val="28"/>
        </w:rPr>
        <w:t>Программа подготовки: специалитет</w:t>
      </w:r>
    </w:p>
    <w:p w:rsidR="003D48FA" w:rsidRPr="003D48FA" w:rsidRDefault="003D48FA" w:rsidP="003D48FA">
      <w:pPr>
        <w:widowControl w:val="0"/>
        <w:ind w:left="5"/>
        <w:jc w:val="center"/>
        <w:rPr>
          <w:color w:val="000000"/>
          <w:sz w:val="28"/>
        </w:rPr>
      </w:pPr>
    </w:p>
    <w:p w:rsidR="003D48FA" w:rsidRPr="003D48FA" w:rsidRDefault="003D48FA" w:rsidP="003D48FA">
      <w:pPr>
        <w:widowControl w:val="0"/>
        <w:ind w:left="5"/>
        <w:jc w:val="center"/>
        <w:rPr>
          <w:color w:val="000000"/>
          <w:sz w:val="28"/>
        </w:rPr>
      </w:pPr>
      <w:r w:rsidRPr="003D48FA">
        <w:rPr>
          <w:color w:val="000000"/>
          <w:sz w:val="28"/>
        </w:rPr>
        <w:t>К</w:t>
      </w:r>
      <w:r w:rsidR="00F05C5C">
        <w:rPr>
          <w:color w:val="000000"/>
          <w:sz w:val="28"/>
        </w:rPr>
        <w:t>валификация выпускника – специалист</w:t>
      </w:r>
      <w:bookmarkStart w:id="0" w:name="_GoBack"/>
      <w:bookmarkEnd w:id="0"/>
    </w:p>
    <w:p w:rsidR="003D48FA" w:rsidRPr="003D48FA" w:rsidRDefault="003D48FA" w:rsidP="003D48FA">
      <w:pPr>
        <w:widowControl w:val="0"/>
        <w:ind w:left="5"/>
        <w:jc w:val="center"/>
        <w:rPr>
          <w:color w:val="000000"/>
          <w:sz w:val="28"/>
        </w:rPr>
      </w:pPr>
    </w:p>
    <w:p w:rsidR="003D48FA" w:rsidRPr="003D48FA" w:rsidRDefault="003D48FA" w:rsidP="003D48FA">
      <w:pPr>
        <w:widowControl w:val="0"/>
        <w:ind w:left="6"/>
        <w:jc w:val="center"/>
        <w:rPr>
          <w:color w:val="000000"/>
          <w:sz w:val="28"/>
        </w:rPr>
      </w:pPr>
      <w:r w:rsidRPr="003D48FA">
        <w:rPr>
          <w:color w:val="000000"/>
          <w:sz w:val="28"/>
        </w:rPr>
        <w:t>Форма обучения – очная</w:t>
      </w:r>
    </w:p>
    <w:p w:rsidR="00BA629C" w:rsidRDefault="00BA629C" w:rsidP="00840B5F">
      <w:pPr>
        <w:rPr>
          <w:sz w:val="28"/>
          <w:szCs w:val="28"/>
        </w:rPr>
      </w:pPr>
    </w:p>
    <w:p w:rsidR="003D48FA" w:rsidRPr="00261BF2" w:rsidRDefault="003D48FA" w:rsidP="00840B5F">
      <w:pPr>
        <w:rPr>
          <w:sz w:val="28"/>
          <w:szCs w:val="28"/>
        </w:rPr>
      </w:pPr>
    </w:p>
    <w:p w:rsidR="00BA629C" w:rsidRPr="00261BF2" w:rsidRDefault="00BA629C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9168E2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9168E2">
        <w:rPr>
          <w:sz w:val="28"/>
          <w:szCs w:val="28"/>
        </w:rPr>
        <w:t>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E23854" w:rsidRPr="00E23854" w:rsidRDefault="00E2385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C223D6" w:rsidRDefault="00A440B6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</w:t>
      </w:r>
      <w:r w:rsidRPr="00852722">
        <w:rPr>
          <w:sz w:val="28"/>
          <w:szCs w:val="28"/>
          <w:lang w:val="ru-RU"/>
        </w:rPr>
        <w:lastRenderedPageBreak/>
        <w:t xml:space="preserve">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</w:t>
      </w:r>
      <w:r w:rsidRPr="00852722">
        <w:rPr>
          <w:sz w:val="28"/>
          <w:szCs w:val="28"/>
          <w:lang w:val="ru-RU"/>
        </w:rPr>
        <w:lastRenderedPageBreak/>
        <w:t>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C47864" w:rsidRDefault="00C4786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</w:t>
      </w:r>
      <w:r w:rsidRPr="00FA324F">
        <w:rPr>
          <w:sz w:val="28"/>
          <w:szCs w:val="28"/>
          <w:lang w:val="ru-RU"/>
        </w:rPr>
        <w:lastRenderedPageBreak/>
        <w:t xml:space="preserve">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4E01E2" w:rsidRPr="004E01E2" w:rsidRDefault="004E01E2" w:rsidP="00602FB9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 xml:space="preserve">предполагающим не только воспроизведение студентами знаний, но и </w:t>
      </w:r>
      <w:r w:rsidRPr="004E01E2">
        <w:rPr>
          <w:rFonts w:eastAsiaTheme="minorHAnsi"/>
          <w:sz w:val="28"/>
          <w:szCs w:val="28"/>
          <w:lang w:eastAsia="en-US"/>
        </w:rPr>
        <w:lastRenderedPageBreak/>
        <w:t>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Pr="00602FB9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602FB9" w:rsidRPr="00523902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602FB9" w:rsidRDefault="00602FB9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602FB9" w:rsidRPr="00904BB2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</w:t>
      </w:r>
      <w:r w:rsidRPr="00121A1F">
        <w:rPr>
          <w:sz w:val="28"/>
          <w:szCs w:val="28"/>
          <w:lang w:val="ru-RU"/>
        </w:rPr>
        <w:lastRenderedPageBreak/>
        <w:t>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>
        <w:rPr>
          <w:sz w:val="28"/>
          <w:szCs w:val="28"/>
          <w:lang w:val="ru-RU"/>
        </w:rPr>
        <w:t>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602FB9" w:rsidRPr="00121A1F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4344" w:rsidRDefault="00CC2171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Offise</w:t>
      </w:r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r w:rsidR="00FF6514" w:rsidRPr="00FF6514">
        <w:rPr>
          <w:sz w:val="28"/>
          <w:lang w:val="ru-RU"/>
        </w:rPr>
        <w:t>е</w:t>
      </w:r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 xml:space="preserve">Автоматическая расстановка переносов.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r w:rsidRPr="007C40C0">
        <w:rPr>
          <w:sz w:val="28"/>
          <w:szCs w:val="28"/>
          <w:lang w:val="ru-RU"/>
        </w:rPr>
        <w:t>аудиторная</w:t>
      </w:r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7C40C0">
        <w:rPr>
          <w:iCs/>
          <w:sz w:val="28"/>
          <w:szCs w:val="28"/>
          <w:lang w:val="ru-RU"/>
        </w:rPr>
        <w:t xml:space="preserve">внеаудиторная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при подготовке к следующей лекции, нужно просмотреть текст предыдущей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602FB9" w:rsidRPr="00523902" w:rsidRDefault="00602FB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E96AB5" w:rsidRPr="00E96AB5" w:rsidRDefault="00E96AB5" w:rsidP="00602FB9">
      <w:pPr>
        <w:tabs>
          <w:tab w:val="left" w:pos="422"/>
        </w:tabs>
        <w:spacing w:before="120"/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создает внутреннее сопротивление какому бы то ни было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886711">
      <w:pgSz w:w="12240" w:h="15840" w:code="1"/>
      <w:pgMar w:top="851" w:right="851" w:bottom="567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A1" w:rsidRDefault="00B916A1" w:rsidP="00350A5F">
      <w:r>
        <w:separator/>
      </w:r>
    </w:p>
  </w:endnote>
  <w:endnote w:type="continuationSeparator" w:id="0">
    <w:p w:rsidR="00B916A1" w:rsidRDefault="00B916A1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A1" w:rsidRDefault="00B916A1" w:rsidP="00350A5F">
      <w:r>
        <w:separator/>
      </w:r>
    </w:p>
  </w:footnote>
  <w:footnote w:type="continuationSeparator" w:id="0">
    <w:p w:rsidR="00B916A1" w:rsidRDefault="00B916A1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0A674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F05C5C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0A674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B1EC2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622CB"/>
    <w:rsid w:val="000A545A"/>
    <w:rsid w:val="000A6744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61BF2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D48FA"/>
    <w:rsid w:val="003F2AFD"/>
    <w:rsid w:val="00404567"/>
    <w:rsid w:val="0040731B"/>
    <w:rsid w:val="00433F2A"/>
    <w:rsid w:val="00464DD4"/>
    <w:rsid w:val="00491C5D"/>
    <w:rsid w:val="004E01E2"/>
    <w:rsid w:val="004E38C9"/>
    <w:rsid w:val="004F13CB"/>
    <w:rsid w:val="00523902"/>
    <w:rsid w:val="005309D8"/>
    <w:rsid w:val="005607A4"/>
    <w:rsid w:val="005A5CA4"/>
    <w:rsid w:val="005B6547"/>
    <w:rsid w:val="005B72C8"/>
    <w:rsid w:val="005E4AEA"/>
    <w:rsid w:val="00602FB9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9278D"/>
    <w:rsid w:val="007B2B3A"/>
    <w:rsid w:val="007C40C0"/>
    <w:rsid w:val="007D42C8"/>
    <w:rsid w:val="007D6E9C"/>
    <w:rsid w:val="007E225A"/>
    <w:rsid w:val="007E6545"/>
    <w:rsid w:val="0081310D"/>
    <w:rsid w:val="00814551"/>
    <w:rsid w:val="00840A16"/>
    <w:rsid w:val="00840B5F"/>
    <w:rsid w:val="00845D98"/>
    <w:rsid w:val="00852722"/>
    <w:rsid w:val="00886711"/>
    <w:rsid w:val="0089112D"/>
    <w:rsid w:val="00896032"/>
    <w:rsid w:val="008D30D1"/>
    <w:rsid w:val="008F214D"/>
    <w:rsid w:val="00900501"/>
    <w:rsid w:val="00902498"/>
    <w:rsid w:val="00904BB2"/>
    <w:rsid w:val="009168E2"/>
    <w:rsid w:val="00925225"/>
    <w:rsid w:val="00935553"/>
    <w:rsid w:val="00962EFF"/>
    <w:rsid w:val="00980D49"/>
    <w:rsid w:val="00A440B6"/>
    <w:rsid w:val="00A529FC"/>
    <w:rsid w:val="00A52A0A"/>
    <w:rsid w:val="00A72027"/>
    <w:rsid w:val="00A82AF0"/>
    <w:rsid w:val="00A93691"/>
    <w:rsid w:val="00AA0B8F"/>
    <w:rsid w:val="00AB4A46"/>
    <w:rsid w:val="00AC3FCD"/>
    <w:rsid w:val="00AE06C3"/>
    <w:rsid w:val="00AF4863"/>
    <w:rsid w:val="00B067F5"/>
    <w:rsid w:val="00B10FF9"/>
    <w:rsid w:val="00B5007A"/>
    <w:rsid w:val="00B737CF"/>
    <w:rsid w:val="00B916A1"/>
    <w:rsid w:val="00BA629C"/>
    <w:rsid w:val="00BC1C89"/>
    <w:rsid w:val="00C223D6"/>
    <w:rsid w:val="00C47864"/>
    <w:rsid w:val="00C76FC9"/>
    <w:rsid w:val="00C8502F"/>
    <w:rsid w:val="00C932B0"/>
    <w:rsid w:val="00CB1EC2"/>
    <w:rsid w:val="00CC2171"/>
    <w:rsid w:val="00CD4A4C"/>
    <w:rsid w:val="00CF1877"/>
    <w:rsid w:val="00D001FF"/>
    <w:rsid w:val="00D007A4"/>
    <w:rsid w:val="00D61D1B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05C5C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3C2C059"/>
  <w15:docId w15:val="{5C909B7F-4709-4D69-B1F0-CB0116D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Kaf.BJDiE</cp:lastModifiedBy>
  <cp:revision>2</cp:revision>
  <dcterms:created xsi:type="dcterms:W3CDTF">2023-06-26T13:32:00Z</dcterms:created>
  <dcterms:modified xsi:type="dcterms:W3CDTF">2023-06-26T13:32:00Z</dcterms:modified>
</cp:coreProperties>
</file>