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15.03.0</w:t>
      </w:r>
      <w:r>
        <w:rPr>
          <w:rFonts w:eastAsia="Times New Roman" w:cs="Calibri"/>
          <w:color w:val="000000"/>
          <w:spacing w:val="0"/>
          <w:sz w:val="28"/>
          <w:szCs w:val="28"/>
          <w:shd w:fill="auto" w:val="clear"/>
          <w:lang w:val="en-US"/>
        </w:rPr>
        <w:t>6</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6"/>
        <w:gridCol w:w="1396"/>
        <w:gridCol w:w="6296"/>
        <w:gridCol w:w="1585"/>
      </w:tblGrid>
      <w:tr>
        <w:trPr/>
        <w:tc>
          <w:tcPr>
            <w:tcW w:w="5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1859</Words>
  <Characters>12575</Characters>
  <CharactersWithSpaces>14176</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2023-09-21T16:35:36Z</dcterms:modified>
  <cp:revision>19</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