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665378" w:rsidRDefault="00665378" w:rsidP="00AE24DB">
      <w:pPr>
        <w:widowControl w:val="0"/>
        <w:spacing w:line="360" w:lineRule="auto"/>
        <w:jc w:val="center"/>
        <w:rPr>
          <w:kern w:val="1"/>
          <w:sz w:val="28"/>
          <w:szCs w:val="28"/>
        </w:rPr>
      </w:pPr>
    </w:p>
    <w:p w:rsidR="00665378" w:rsidRDefault="00665378" w:rsidP="00AE24DB">
      <w:pPr>
        <w:widowControl w:val="0"/>
        <w:spacing w:line="360" w:lineRule="auto"/>
        <w:jc w:val="center"/>
        <w:rPr>
          <w:kern w:val="1"/>
          <w:sz w:val="28"/>
          <w:szCs w:val="28"/>
        </w:rPr>
      </w:pPr>
    </w:p>
    <w:p w:rsidR="00665378" w:rsidRDefault="00665378" w:rsidP="00AE24DB">
      <w:pPr>
        <w:widowControl w:val="0"/>
        <w:spacing w:line="360" w:lineRule="auto"/>
        <w:jc w:val="center"/>
        <w:rPr>
          <w:kern w:val="1"/>
          <w:sz w:val="28"/>
          <w:szCs w:val="28"/>
        </w:rPr>
      </w:pPr>
    </w:p>
    <w:p w:rsidR="00665378" w:rsidRPr="003853FE" w:rsidRDefault="00665378" w:rsidP="00665378">
      <w:pPr>
        <w:jc w:val="center"/>
        <w:outlineLvl w:val="0"/>
        <w:rPr>
          <w:sz w:val="28"/>
          <w:szCs w:val="28"/>
        </w:rPr>
      </w:pPr>
      <w:r>
        <w:rPr>
          <w:sz w:val="28"/>
          <w:szCs w:val="28"/>
        </w:rPr>
        <w:t>Направление</w:t>
      </w:r>
    </w:p>
    <w:p w:rsidR="00665378" w:rsidRDefault="00665378" w:rsidP="00665378">
      <w:pPr>
        <w:jc w:val="center"/>
        <w:rPr>
          <w:b/>
          <w:color w:val="000000"/>
          <w:sz w:val="32"/>
          <w:szCs w:val="32"/>
          <w:lang w:eastAsia="ru-RU"/>
        </w:rPr>
      </w:pPr>
      <w:r>
        <w:rPr>
          <w:b/>
          <w:bCs/>
          <w:sz w:val="32"/>
          <w:szCs w:val="32"/>
          <w:lang w:eastAsia="ru-RU"/>
        </w:rPr>
        <w:t>0</w:t>
      </w:r>
      <w:r w:rsidRPr="007C4A5A">
        <w:rPr>
          <w:b/>
          <w:bCs/>
          <w:sz w:val="32"/>
          <w:szCs w:val="32"/>
          <w:lang w:eastAsia="ru-RU"/>
        </w:rPr>
        <w:t>9.03.01 Информатика и вычислительная техника</w:t>
      </w:r>
    </w:p>
    <w:p w:rsidR="00665378" w:rsidRDefault="00665378" w:rsidP="00665378">
      <w:pPr>
        <w:jc w:val="center"/>
        <w:rPr>
          <w:b/>
          <w:color w:val="000000"/>
          <w:sz w:val="32"/>
          <w:szCs w:val="32"/>
          <w:lang w:eastAsia="ru-RU"/>
        </w:rPr>
      </w:pPr>
    </w:p>
    <w:p w:rsidR="00665378" w:rsidRPr="00B921A5" w:rsidRDefault="00665378" w:rsidP="00665378">
      <w:pPr>
        <w:jc w:val="center"/>
        <w:rPr>
          <w:sz w:val="28"/>
          <w:szCs w:val="28"/>
          <w:highlight w:val="green"/>
        </w:rPr>
      </w:pPr>
    </w:p>
    <w:p w:rsidR="00665378" w:rsidRPr="00D11BB4" w:rsidRDefault="00665378" w:rsidP="00665378">
      <w:pPr>
        <w:spacing w:line="264" w:lineRule="auto"/>
        <w:jc w:val="center"/>
        <w:rPr>
          <w:sz w:val="28"/>
          <w:szCs w:val="28"/>
        </w:rPr>
      </w:pPr>
      <w:r>
        <w:rPr>
          <w:sz w:val="28"/>
          <w:szCs w:val="28"/>
        </w:rPr>
        <w:t>Профиль</w:t>
      </w:r>
      <w:r w:rsidRPr="00D11BB4">
        <w:rPr>
          <w:sz w:val="28"/>
          <w:szCs w:val="28"/>
        </w:rPr>
        <w:t xml:space="preserve"> </w:t>
      </w:r>
    </w:p>
    <w:p w:rsidR="00665378" w:rsidRPr="000C2BD7" w:rsidRDefault="0077256B" w:rsidP="00665378">
      <w:pPr>
        <w:spacing w:line="360" w:lineRule="auto"/>
        <w:jc w:val="center"/>
        <w:rPr>
          <w:sz w:val="28"/>
          <w:szCs w:val="26"/>
        </w:rPr>
      </w:pPr>
      <w:r w:rsidRPr="0077256B">
        <w:rPr>
          <w:b/>
          <w:color w:val="000000"/>
          <w:sz w:val="32"/>
          <w:szCs w:val="32"/>
          <w:lang w:eastAsia="ru-RU"/>
        </w:rPr>
        <w:t>Системы автоматизированного проектирования</w:t>
      </w:r>
    </w:p>
    <w:p w:rsidR="00665378" w:rsidRDefault="00665378" w:rsidP="00665378">
      <w:pPr>
        <w:jc w:val="center"/>
        <w:rPr>
          <w:sz w:val="28"/>
          <w:szCs w:val="28"/>
        </w:rPr>
      </w:pPr>
    </w:p>
    <w:p w:rsidR="00665378" w:rsidRDefault="00665378" w:rsidP="00665378">
      <w:pPr>
        <w:jc w:val="center"/>
        <w:rPr>
          <w:sz w:val="28"/>
          <w:szCs w:val="28"/>
        </w:rPr>
      </w:pPr>
    </w:p>
    <w:p w:rsidR="00665378" w:rsidRPr="007F65F1" w:rsidRDefault="00665378" w:rsidP="00665378">
      <w:pPr>
        <w:widowControl w:val="0"/>
        <w:ind w:left="5"/>
        <w:jc w:val="center"/>
        <w:rPr>
          <w:color w:val="000000"/>
          <w:sz w:val="28"/>
          <w:szCs w:val="28"/>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6A3A67">
        <w:rPr>
          <w:sz w:val="28"/>
          <w:szCs w:val="28"/>
        </w:rPr>
        <w:t>бакалавр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931E4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31E47" w:rsidRPr="001B348A" w:rsidRDefault="00931E47"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931E47" w:rsidRPr="00EF52D0" w:rsidRDefault="00931E47"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31E47" w:rsidRDefault="00931E47">
            <w:pPr>
              <w:jc w:val="center"/>
              <w:rPr>
                <w:color w:val="000000"/>
              </w:rPr>
            </w:pPr>
            <w:r>
              <w:rPr>
                <w:color w:val="000000"/>
              </w:rPr>
              <w:t>УК-8.1</w:t>
            </w:r>
          </w:p>
          <w:p w:rsidR="00931E47" w:rsidRDefault="00931E47">
            <w:pPr>
              <w:jc w:val="center"/>
              <w:rPr>
                <w:color w:val="000000"/>
                <w:lang w:val="en-US"/>
              </w:rPr>
            </w:pPr>
            <w:r>
              <w:rPr>
                <w:color w:val="000000"/>
              </w:rPr>
              <w:t>УК-8.2</w:t>
            </w:r>
          </w:p>
          <w:p w:rsidR="00667E39" w:rsidRPr="00667E39" w:rsidRDefault="00667E39">
            <w:pPr>
              <w:jc w:val="center"/>
              <w:rPr>
                <w:lang w:val="en-US"/>
              </w:rP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931E47" w:rsidRDefault="00931E47" w:rsidP="00E222D6">
            <w:pPr>
              <w:spacing w:line="192" w:lineRule="auto"/>
              <w:ind w:right="-113"/>
            </w:pPr>
            <w:r w:rsidRPr="00AC5471">
              <w:t>Зачет</w:t>
            </w:r>
          </w:p>
          <w:p w:rsidR="00931E47" w:rsidRPr="00AC5471" w:rsidRDefault="00931E47" w:rsidP="00E222D6">
            <w:pPr>
              <w:spacing w:line="192" w:lineRule="auto"/>
              <w:ind w:right="-113"/>
            </w:pPr>
            <w:r>
              <w:t>Экспресс-опрос</w:t>
            </w:r>
          </w:p>
          <w:p w:rsidR="00931E47" w:rsidRDefault="00931E47" w:rsidP="00E222D6">
            <w:pPr>
              <w:spacing w:line="192" w:lineRule="auto"/>
              <w:ind w:right="-113"/>
            </w:pPr>
            <w:r w:rsidRPr="00AC5471">
              <w:t>Защита лабораторной  работы</w:t>
            </w:r>
          </w:p>
          <w:p w:rsidR="00931E47" w:rsidRPr="005A254D" w:rsidRDefault="00931E47"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31E4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31E47" w:rsidRPr="001B348A" w:rsidRDefault="00931E47"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931E47" w:rsidRDefault="00931E47"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31E47" w:rsidRDefault="00931E47">
            <w:pPr>
              <w:jc w:val="center"/>
              <w:rPr>
                <w:color w:val="000000"/>
              </w:rPr>
            </w:pPr>
            <w:r>
              <w:rPr>
                <w:color w:val="000000"/>
              </w:rPr>
              <w:t>УК-8.1</w:t>
            </w:r>
          </w:p>
          <w:p w:rsidR="00931E47" w:rsidRDefault="00931E47">
            <w:pPr>
              <w:jc w:val="center"/>
              <w:rPr>
                <w:color w:val="000000"/>
              </w:rPr>
            </w:pPr>
            <w:r>
              <w:rPr>
                <w:color w:val="000000"/>
              </w:rPr>
              <w:t>УК-8.2</w:t>
            </w:r>
          </w:p>
          <w:p w:rsidR="00931E47" w:rsidRDefault="00931E47">
            <w:pPr>
              <w:jc w:val="center"/>
            </w:pPr>
            <w:r>
              <w:rPr>
                <w:color w:val="000000"/>
              </w:rPr>
              <w:t>УК-8.3-У</w:t>
            </w:r>
          </w:p>
        </w:tc>
        <w:tc>
          <w:tcPr>
            <w:tcW w:w="3542" w:type="dxa"/>
            <w:tcBorders>
              <w:top w:val="single" w:sz="4" w:space="0" w:color="000000"/>
              <w:left w:val="single" w:sz="4" w:space="0" w:color="000000"/>
              <w:bottom w:val="single" w:sz="4" w:space="0" w:color="000000"/>
              <w:right w:val="single" w:sz="4" w:space="0" w:color="000000"/>
            </w:tcBorders>
            <w:vAlign w:val="center"/>
          </w:tcPr>
          <w:p w:rsidR="00931E47" w:rsidRDefault="00931E47" w:rsidP="00E222D6">
            <w:pPr>
              <w:spacing w:line="192" w:lineRule="auto"/>
              <w:ind w:right="-113"/>
            </w:pPr>
            <w:r w:rsidRPr="00AC5471">
              <w:t>Зачет</w:t>
            </w:r>
          </w:p>
          <w:p w:rsidR="00931E47" w:rsidRPr="00AC5471" w:rsidRDefault="00931E47" w:rsidP="00E222D6">
            <w:pPr>
              <w:spacing w:line="192" w:lineRule="auto"/>
              <w:ind w:right="-113"/>
            </w:pPr>
            <w:r>
              <w:t>Экспресс-опрос</w:t>
            </w:r>
          </w:p>
          <w:p w:rsidR="00931E47" w:rsidRDefault="00931E47" w:rsidP="00E222D6">
            <w:pPr>
              <w:spacing w:line="192" w:lineRule="auto"/>
              <w:ind w:right="-113"/>
            </w:pPr>
            <w:r w:rsidRPr="00AC5471">
              <w:t>Защита лабораторной  работы</w:t>
            </w:r>
          </w:p>
          <w:p w:rsidR="00931E47" w:rsidRPr="005A254D" w:rsidRDefault="00931E4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931E4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31E47" w:rsidRPr="001B348A" w:rsidRDefault="00931E47"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931E47" w:rsidRDefault="00931E47"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31E47" w:rsidRDefault="00931E47">
            <w:pPr>
              <w:jc w:val="center"/>
              <w:rPr>
                <w:color w:val="000000"/>
              </w:rPr>
            </w:pPr>
            <w:r>
              <w:rPr>
                <w:color w:val="000000"/>
              </w:rPr>
              <w:t>УК-8.1</w:t>
            </w:r>
          </w:p>
          <w:p w:rsidR="00931E47" w:rsidRDefault="00931E47">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931E47" w:rsidRDefault="00931E47" w:rsidP="00E222D6">
            <w:pPr>
              <w:spacing w:line="192" w:lineRule="auto"/>
              <w:ind w:right="-113"/>
            </w:pPr>
            <w:r w:rsidRPr="00AC5471">
              <w:t>Зачет</w:t>
            </w:r>
          </w:p>
          <w:p w:rsidR="00931E47" w:rsidRPr="00AC5471" w:rsidRDefault="00931E47" w:rsidP="00E222D6">
            <w:pPr>
              <w:spacing w:line="192" w:lineRule="auto"/>
              <w:ind w:right="-113"/>
            </w:pPr>
            <w:r>
              <w:t>Экспресс-опрос</w:t>
            </w:r>
          </w:p>
          <w:p w:rsidR="00931E47" w:rsidRDefault="00931E47" w:rsidP="00E222D6">
            <w:pPr>
              <w:spacing w:line="192" w:lineRule="auto"/>
              <w:ind w:right="-113"/>
            </w:pPr>
            <w:r w:rsidRPr="00AC5471">
              <w:t>Защита лабораторных  работ</w:t>
            </w:r>
          </w:p>
          <w:p w:rsidR="00931E47" w:rsidRPr="005A254D" w:rsidRDefault="00931E4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31E4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31E47" w:rsidRPr="001B348A" w:rsidRDefault="00931E47"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931E47" w:rsidRPr="0039379A" w:rsidRDefault="00931E47"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931E47" w:rsidRDefault="00931E47">
            <w:pPr>
              <w:jc w:val="center"/>
              <w:rPr>
                <w:color w:val="000000"/>
              </w:rPr>
            </w:pPr>
            <w:r>
              <w:rPr>
                <w:color w:val="000000"/>
              </w:rPr>
              <w:t>УК-8.1</w:t>
            </w:r>
          </w:p>
          <w:p w:rsidR="00931E47" w:rsidRDefault="00931E47">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931E47" w:rsidRDefault="00931E47" w:rsidP="00E222D6">
            <w:pPr>
              <w:spacing w:line="192" w:lineRule="auto"/>
              <w:ind w:right="-113"/>
            </w:pPr>
            <w:r w:rsidRPr="00AC5471">
              <w:t>Зачет</w:t>
            </w:r>
          </w:p>
          <w:p w:rsidR="00931E47" w:rsidRPr="00AC5471" w:rsidRDefault="00931E47" w:rsidP="00E222D6">
            <w:pPr>
              <w:spacing w:line="192" w:lineRule="auto"/>
              <w:ind w:right="-113"/>
            </w:pPr>
            <w:r>
              <w:t>Экспресс-опрос</w:t>
            </w:r>
          </w:p>
          <w:p w:rsidR="00931E47" w:rsidRDefault="00931E47" w:rsidP="00E222D6">
            <w:pPr>
              <w:spacing w:line="192" w:lineRule="auto"/>
              <w:ind w:right="-113"/>
            </w:pPr>
            <w:r w:rsidRPr="00AC5471">
              <w:t>Защита лабораторных  работ</w:t>
            </w:r>
          </w:p>
          <w:p w:rsidR="00931E47" w:rsidRPr="005A254D" w:rsidRDefault="00931E4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31E4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31E47" w:rsidRPr="001B348A" w:rsidRDefault="00931E47"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931E47" w:rsidRPr="0039379A" w:rsidRDefault="00931E47"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931E47" w:rsidRDefault="00931E47">
            <w:pPr>
              <w:jc w:val="center"/>
              <w:rPr>
                <w:color w:val="000000"/>
              </w:rPr>
            </w:pPr>
            <w:r>
              <w:rPr>
                <w:color w:val="000000"/>
              </w:rPr>
              <w:t>УК-8.1</w:t>
            </w:r>
          </w:p>
          <w:p w:rsidR="00931E47" w:rsidRDefault="00931E47">
            <w:pPr>
              <w:jc w:val="center"/>
              <w:rPr>
                <w:color w:val="000000"/>
              </w:rPr>
            </w:pPr>
            <w:r>
              <w:rPr>
                <w:color w:val="000000"/>
              </w:rPr>
              <w:t>УК-8.2</w:t>
            </w:r>
          </w:p>
          <w:p w:rsidR="00931E47" w:rsidRDefault="00931E47">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931E47" w:rsidRDefault="00931E47" w:rsidP="00E222D6">
            <w:pPr>
              <w:spacing w:line="192" w:lineRule="auto"/>
              <w:ind w:right="-113"/>
            </w:pPr>
            <w:r w:rsidRPr="00AC5471">
              <w:t>Зачет</w:t>
            </w:r>
          </w:p>
          <w:p w:rsidR="00931E47" w:rsidRPr="00AC5471" w:rsidRDefault="00931E47" w:rsidP="00E222D6">
            <w:pPr>
              <w:spacing w:line="192" w:lineRule="auto"/>
              <w:ind w:right="-113"/>
            </w:pPr>
            <w:r>
              <w:t>Экспресс-опрос</w:t>
            </w:r>
          </w:p>
          <w:p w:rsidR="00931E47" w:rsidRPr="005A254D" w:rsidRDefault="00931E4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31E4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31E47" w:rsidRPr="001B348A" w:rsidRDefault="00931E47"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931E47" w:rsidRPr="0039379A" w:rsidRDefault="00931E47"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931E47" w:rsidRDefault="00931E47">
            <w:pPr>
              <w:jc w:val="center"/>
              <w:rPr>
                <w:color w:val="000000"/>
              </w:rPr>
            </w:pPr>
            <w:r>
              <w:rPr>
                <w:color w:val="000000"/>
              </w:rPr>
              <w:t>УК-8.1</w:t>
            </w:r>
          </w:p>
          <w:p w:rsidR="00931E47" w:rsidRDefault="00931E47">
            <w:pPr>
              <w:jc w:val="center"/>
              <w:rPr>
                <w:color w:val="000000"/>
              </w:rPr>
            </w:pPr>
            <w:r>
              <w:rPr>
                <w:color w:val="000000"/>
              </w:rPr>
              <w:t>УК-8.2</w:t>
            </w:r>
          </w:p>
          <w:p w:rsidR="00931E47" w:rsidRDefault="00931E47">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931E47" w:rsidRDefault="00931E47" w:rsidP="00E222D6">
            <w:pPr>
              <w:spacing w:line="192" w:lineRule="auto"/>
              <w:ind w:right="-113"/>
            </w:pPr>
            <w:r w:rsidRPr="00AC5471">
              <w:t>Зачет</w:t>
            </w:r>
          </w:p>
          <w:p w:rsidR="00931E47" w:rsidRPr="00AC5471" w:rsidRDefault="00931E47" w:rsidP="00E222D6">
            <w:pPr>
              <w:spacing w:line="192" w:lineRule="auto"/>
              <w:ind w:right="-113"/>
            </w:pPr>
            <w:r>
              <w:t>Экспресс-опрос</w:t>
            </w:r>
          </w:p>
          <w:p w:rsidR="00931E47" w:rsidRDefault="00931E47" w:rsidP="00E222D6">
            <w:pPr>
              <w:spacing w:line="192" w:lineRule="auto"/>
              <w:ind w:right="-113"/>
            </w:pPr>
            <w:r w:rsidRPr="00AC5471">
              <w:t>Защита лабораторных  работ</w:t>
            </w:r>
          </w:p>
          <w:p w:rsidR="00931E47" w:rsidRPr="005A254D" w:rsidRDefault="00931E4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931E47" w:rsidRDefault="00AE24DB" w:rsidP="00AE24DB">
      <w:pPr>
        <w:pStyle w:val="Default"/>
        <w:widowControl w:val="0"/>
        <w:ind w:left="-113" w:right="-113"/>
        <w:outlineLvl w:val="0"/>
        <w:rPr>
          <w:b/>
          <w:bCs/>
          <w:spacing w:val="-2"/>
          <w:lang w:val="en-US"/>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931E47" w:rsidRPr="00AF552E" w:rsidTr="00931E47">
        <w:tc>
          <w:tcPr>
            <w:tcW w:w="851" w:type="dxa"/>
            <w:tcBorders>
              <w:top w:val="single" w:sz="8" w:space="0" w:color="auto"/>
              <w:left w:val="single" w:sz="8" w:space="0" w:color="auto"/>
              <w:bottom w:val="single" w:sz="8" w:space="0" w:color="auto"/>
              <w:right w:val="single" w:sz="8" w:space="0" w:color="auto"/>
            </w:tcBorders>
            <w:vAlign w:val="center"/>
          </w:tcPr>
          <w:p w:rsidR="00931E47" w:rsidRPr="00AF552E" w:rsidRDefault="00931E47"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AF552E" w:rsidRDefault="00931E47" w:rsidP="00F710DF">
            <w:pPr>
              <w:jc w:val="center"/>
              <w:rPr>
                <w:sz w:val="20"/>
                <w:szCs w:val="20"/>
              </w:rPr>
            </w:pPr>
            <w:r w:rsidRPr="00AF552E">
              <w:rPr>
                <w:sz w:val="20"/>
                <w:szCs w:val="20"/>
              </w:rPr>
              <w:t xml:space="preserve">Название лабораторной работы </w:t>
            </w:r>
          </w:p>
        </w:tc>
      </w:tr>
      <w:tr w:rsidR="00931E47" w:rsidRPr="00AF552E" w:rsidTr="00931E4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31E47" w:rsidRPr="00365104" w:rsidRDefault="00931E47"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365104" w:rsidRDefault="00931E47" w:rsidP="00F710DF">
            <w:r w:rsidRPr="00365104">
              <w:rPr>
                <w:sz w:val="22"/>
                <w:szCs w:val="22"/>
              </w:rPr>
              <w:t>Анализ условий жизнедеятельности</w:t>
            </w:r>
          </w:p>
        </w:tc>
      </w:tr>
      <w:tr w:rsidR="00931E47" w:rsidRPr="00AF552E" w:rsidTr="00931E4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31E47" w:rsidRPr="00365104" w:rsidRDefault="00931E47"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365104" w:rsidRDefault="00931E47" w:rsidP="00F710DF">
            <w:r w:rsidRPr="00365104">
              <w:rPr>
                <w:sz w:val="22"/>
                <w:szCs w:val="22"/>
              </w:rPr>
              <w:t>Первая помощь человеку, пораженному электрическим током</w:t>
            </w:r>
          </w:p>
        </w:tc>
      </w:tr>
      <w:tr w:rsidR="00931E47" w:rsidRPr="00AF552E" w:rsidTr="00931E4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31E47" w:rsidRPr="00365104" w:rsidRDefault="00931E47"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365104" w:rsidRDefault="00931E47" w:rsidP="00F710DF">
            <w:r w:rsidRPr="00365104">
              <w:rPr>
                <w:sz w:val="22"/>
                <w:szCs w:val="22"/>
              </w:rPr>
              <w:t>Микроклиматические условия на рабочем месте</w:t>
            </w:r>
          </w:p>
        </w:tc>
      </w:tr>
      <w:tr w:rsidR="00931E47" w:rsidRPr="00AF552E" w:rsidTr="00931E4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31E47" w:rsidRPr="00365104" w:rsidRDefault="00931E47"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365104" w:rsidRDefault="00931E47" w:rsidP="00F710DF">
            <w:r w:rsidRPr="00365104">
              <w:rPr>
                <w:sz w:val="22"/>
                <w:szCs w:val="22"/>
              </w:rPr>
              <w:t>Искусственное освещение рабочего места</w:t>
            </w:r>
          </w:p>
        </w:tc>
      </w:tr>
      <w:tr w:rsidR="00931E47" w:rsidRPr="00AF552E" w:rsidTr="00931E4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31E47" w:rsidRPr="00365104" w:rsidRDefault="00931E47"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365104" w:rsidRDefault="00931E47" w:rsidP="00F710DF">
            <w:r w:rsidRPr="00365104">
              <w:rPr>
                <w:sz w:val="22"/>
                <w:szCs w:val="22"/>
              </w:rPr>
              <w:t>Шум и методы борьбы с ним</w:t>
            </w:r>
          </w:p>
        </w:tc>
      </w:tr>
      <w:tr w:rsidR="00931E47" w:rsidRPr="00AF552E" w:rsidTr="00931E4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31E47" w:rsidRPr="00365104" w:rsidRDefault="00931E47"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365104" w:rsidRDefault="00931E47" w:rsidP="00F710DF">
            <w:r w:rsidRPr="00365104">
              <w:rPr>
                <w:sz w:val="22"/>
                <w:szCs w:val="22"/>
              </w:rPr>
              <w:t>Электрическое сопротивление тела человека</w:t>
            </w:r>
          </w:p>
        </w:tc>
      </w:tr>
      <w:tr w:rsidR="00931E47" w:rsidRPr="00AF552E" w:rsidTr="00931E4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31E47" w:rsidRPr="00365104" w:rsidRDefault="00931E47"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931E47" w:rsidRPr="00365104" w:rsidRDefault="00931E47" w:rsidP="00F710DF">
            <w:r w:rsidRPr="00365104">
              <w:rPr>
                <w:sz w:val="22"/>
                <w:szCs w:val="22"/>
              </w:rPr>
              <w:t>Электрическая изоляция и заземление</w:t>
            </w:r>
          </w:p>
        </w:tc>
      </w:tr>
      <w:tr w:rsidR="00931E47" w:rsidRPr="00AF552E" w:rsidTr="00931E47">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931E47" w:rsidRPr="00365104" w:rsidRDefault="00931E47"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931E47" w:rsidRPr="00365104" w:rsidRDefault="00931E47"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553881" w:rsidRDefault="00E03FB2" w:rsidP="006A3A67">
      <w:pPr>
        <w:pStyle w:val="aa"/>
        <w:widowControl w:val="0"/>
      </w:pPr>
      <w:r w:rsidRPr="00C4652E">
        <w:t>Составил</w:t>
      </w:r>
      <w:r w:rsidR="00553881">
        <w:t>:</w:t>
      </w:r>
    </w:p>
    <w:p w:rsidR="00E03FB2" w:rsidRPr="00C4652E" w:rsidRDefault="00665378" w:rsidP="006A3A67">
      <w:pPr>
        <w:pStyle w:val="aa"/>
        <w:widowControl w:val="0"/>
      </w:pPr>
      <w:r>
        <w:t>к</w:t>
      </w:r>
      <w:r w:rsidR="00553881">
        <w:t xml:space="preserve">.т.н., </w:t>
      </w:r>
      <w:r w:rsidR="00E03FB2">
        <w:t xml:space="preserve"> </w:t>
      </w:r>
      <w:r w:rsidR="00E03FB2" w:rsidRPr="00C4652E">
        <w:t>доцент кафедры БЖДиЭ</w:t>
      </w:r>
      <w:r w:rsidR="006A3A67">
        <w:t xml:space="preserve">                                                </w:t>
      </w:r>
      <w:r w:rsidR="00E03FB2" w:rsidRPr="00C4652E">
        <w:tab/>
      </w:r>
      <w:r>
        <w:t>С.И. Кордюков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068" w:rsidRDefault="00BD3068" w:rsidP="007368C8">
      <w:r>
        <w:separator/>
      </w:r>
    </w:p>
  </w:endnote>
  <w:endnote w:type="continuationSeparator" w:id="0">
    <w:p w:rsidR="00BD3068" w:rsidRDefault="00BD3068"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0B7EA3"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0B7EA3"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667E39">
      <w:rPr>
        <w:rStyle w:val="a8"/>
        <w:noProof/>
      </w:rPr>
      <w:t>3</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068" w:rsidRDefault="00BD3068" w:rsidP="007368C8">
      <w:r>
        <w:separator/>
      </w:r>
    </w:p>
  </w:footnote>
  <w:footnote w:type="continuationSeparator" w:id="0">
    <w:p w:rsidR="00BD3068" w:rsidRDefault="00BD3068"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B7EA3"/>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388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5378"/>
    <w:rsid w:val="00666269"/>
    <w:rsid w:val="00667E3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3B47"/>
    <w:rsid w:val="00726920"/>
    <w:rsid w:val="007368C8"/>
    <w:rsid w:val="0074409E"/>
    <w:rsid w:val="00750AEE"/>
    <w:rsid w:val="00752E9C"/>
    <w:rsid w:val="00753829"/>
    <w:rsid w:val="00753973"/>
    <w:rsid w:val="00755F1A"/>
    <w:rsid w:val="007621C4"/>
    <w:rsid w:val="00762A03"/>
    <w:rsid w:val="00764499"/>
    <w:rsid w:val="007653E5"/>
    <w:rsid w:val="0077249C"/>
    <w:rsid w:val="0077256B"/>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3E8A"/>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1E47"/>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86106"/>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068"/>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5236</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6</cp:revision>
  <dcterms:created xsi:type="dcterms:W3CDTF">2021-04-29T18:56:00Z</dcterms:created>
  <dcterms:modified xsi:type="dcterms:W3CDTF">2021-06-14T07:30:00Z</dcterms:modified>
</cp:coreProperties>
</file>