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1822A5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1822A5">
        <w:rPr>
          <w:b/>
          <w:bCs/>
          <w:i/>
          <w:iCs/>
          <w:kern w:val="0"/>
          <w:sz w:val="40"/>
          <w:szCs w:val="40"/>
          <w:lang w:eastAsia="ru-RU"/>
        </w:rPr>
        <w:t>Системы автоматизации проектирования приборов и устройств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E552B2">
      <w:pPr>
        <w:ind w:firstLine="0"/>
        <w:jc w:val="center"/>
        <w:rPr>
          <w:rFonts w:eastAsia="Times New Roman"/>
          <w:kern w:val="0"/>
          <w:sz w:val="28"/>
          <w:szCs w:val="28"/>
        </w:rPr>
      </w:pPr>
      <w:bookmarkStart w:id="0" w:name="_GoBack"/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B81B64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bookmarkEnd w:id="0"/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D12EE8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D12EE8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D12EE8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D12EE8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12EE8">
              <w:rPr>
                <w:i/>
                <w:color w:val="000000"/>
                <w:spacing w:val="1"/>
                <w:sz w:val="24"/>
                <w:szCs w:val="24"/>
              </w:rPr>
              <w:t>Обзор существующих типов САПР, прим</w:t>
            </w:r>
            <w:r w:rsidRPr="00D12EE8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D12EE8">
              <w:rPr>
                <w:i/>
                <w:color w:val="000000"/>
                <w:spacing w:val="1"/>
                <w:sz w:val="24"/>
                <w:szCs w:val="24"/>
              </w:rPr>
              <w:t>няемых в приборостроении, их основные характеристики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D12EE8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EE8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12EE8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12EE8">
              <w:rPr>
                <w:i/>
                <w:color w:val="000000"/>
                <w:spacing w:val="1"/>
                <w:sz w:val="24"/>
                <w:szCs w:val="24"/>
              </w:rPr>
              <w:t>Этапы проектирования биотехнической аппаратуры, принцип "сквозного" проект</w:t>
            </w:r>
            <w:r w:rsidRPr="00D12EE8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D12EE8">
              <w:rPr>
                <w:i/>
                <w:color w:val="000000"/>
                <w:spacing w:val="1"/>
                <w:sz w:val="24"/>
                <w:szCs w:val="24"/>
              </w:rPr>
              <w:t>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D12EE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EE8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12EE8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12EE8">
              <w:rPr>
                <w:i/>
                <w:sz w:val="24"/>
                <w:szCs w:val="24"/>
              </w:rPr>
              <w:t>САПР проектирования печатных плат, о</w:t>
            </w:r>
            <w:r w:rsidRPr="00D12EE8">
              <w:rPr>
                <w:i/>
                <w:sz w:val="24"/>
                <w:szCs w:val="24"/>
              </w:rPr>
              <w:t>с</w:t>
            </w:r>
            <w:r w:rsidRPr="00D12EE8">
              <w:rPr>
                <w:i/>
                <w:sz w:val="24"/>
                <w:szCs w:val="24"/>
              </w:rPr>
              <w:t>новные характеристики и возможности, этапы проектирования печатных плат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D12EE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EE8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12EE8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12EE8">
              <w:rPr>
                <w:i/>
                <w:sz w:val="24"/>
                <w:szCs w:val="24"/>
              </w:rPr>
              <w:t>САПР машиностроительного и приборостроительного конструирования, основные характеристики и возможности, приемы выполнения чертежей, трехмерное моделирование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D12EE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EE8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67700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67700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67700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677009">
        <w:rPr>
          <w:b/>
          <w:sz w:val="28"/>
          <w:szCs w:val="28"/>
        </w:rPr>
        <w:t xml:space="preserve">Вопросы к </w:t>
      </w:r>
      <w:r w:rsidR="00F42427" w:rsidRPr="00677009">
        <w:rPr>
          <w:b/>
          <w:sz w:val="28"/>
          <w:szCs w:val="28"/>
        </w:rPr>
        <w:t>экзамену</w:t>
      </w:r>
      <w:r w:rsidRPr="00677009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Pr="00677009" w:rsidRDefault="00677009" w:rsidP="0067700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4"/>
          <w:szCs w:val="24"/>
        </w:rPr>
      </w:pPr>
      <w:r w:rsidRPr="00677009">
        <w:rPr>
          <w:sz w:val="24"/>
          <w:szCs w:val="24"/>
        </w:rPr>
        <w:t>Предмет и задачи курса.    Структура курса, его связь с другими  дисциплинами.  Роль  и  место в непрерывной подготовке по специалиста. История развития САПР. Класс</w:t>
      </w:r>
      <w:r w:rsidRPr="00677009">
        <w:rPr>
          <w:sz w:val="24"/>
          <w:szCs w:val="24"/>
        </w:rPr>
        <w:t>и</w:t>
      </w:r>
      <w:r w:rsidRPr="00677009">
        <w:rPr>
          <w:sz w:val="24"/>
          <w:szCs w:val="24"/>
        </w:rPr>
        <w:t>фикация САПР по области применения. Номенклатура наиболее развитых САПР, их основные характеристики. Совместимость и возможность взаимного обмена инфо</w:t>
      </w:r>
      <w:r w:rsidRPr="00677009">
        <w:rPr>
          <w:sz w:val="24"/>
          <w:szCs w:val="24"/>
        </w:rPr>
        <w:t>р</w:t>
      </w:r>
      <w:r w:rsidRPr="00677009">
        <w:rPr>
          <w:sz w:val="24"/>
          <w:szCs w:val="24"/>
        </w:rPr>
        <w:t>мацией. Применимость существующих САПР к требованиям ЕСКД, возможность адаптации САПР к требованиям ЕСКД.</w:t>
      </w:r>
    </w:p>
    <w:p w:rsidR="00677009" w:rsidRPr="00677009" w:rsidRDefault="00677009" w:rsidP="0067700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4"/>
          <w:szCs w:val="24"/>
        </w:rPr>
      </w:pPr>
      <w:r w:rsidRPr="00677009">
        <w:rPr>
          <w:sz w:val="24"/>
          <w:szCs w:val="24"/>
        </w:rPr>
        <w:t>Этапы проектирования: техническое задание, эскизный проект, рабочая документация, конструкторская документация. Назначение и состав конструкторской документации, требования, предъявляемые к ней. Понятие термина "сквозное" проектирование. Во</w:t>
      </w:r>
      <w:r w:rsidRPr="00677009">
        <w:rPr>
          <w:sz w:val="24"/>
          <w:szCs w:val="24"/>
        </w:rPr>
        <w:t>з</w:t>
      </w:r>
      <w:r w:rsidRPr="00677009">
        <w:rPr>
          <w:sz w:val="24"/>
          <w:szCs w:val="24"/>
        </w:rPr>
        <w:t>можности САПР, позволяющие реализовать принцип "сквозного" проектирования: моделирование электронных устройств, создание принципиальных электрических схем, разводка печатной платы, создание управляющих файлов для технологического оборудования изготовления ПП и автоматического монтажа ЭРЭ.</w:t>
      </w:r>
    </w:p>
    <w:p w:rsidR="00677009" w:rsidRPr="00677009" w:rsidRDefault="00677009" w:rsidP="00677009">
      <w:pPr>
        <w:pStyle w:val="afb"/>
        <w:numPr>
          <w:ilvl w:val="0"/>
          <w:numId w:val="45"/>
        </w:numPr>
        <w:spacing w:before="0" w:beforeAutospacing="0" w:after="0" w:afterAutospacing="0"/>
      </w:pPr>
      <w:r w:rsidRPr="00677009">
        <w:rPr>
          <w:color w:val="000000"/>
        </w:rPr>
        <w:t>Интерфейс системы, настройка конфигурации.</w:t>
      </w:r>
      <w:r w:rsidRPr="00677009">
        <w:t xml:space="preserve"> </w:t>
      </w:r>
      <w:r w:rsidRPr="00677009">
        <w:rPr>
          <w:color w:val="000000"/>
        </w:rPr>
        <w:t>Подготовительные операции  для пр</w:t>
      </w:r>
      <w:r w:rsidRPr="00677009">
        <w:rPr>
          <w:color w:val="000000"/>
        </w:rPr>
        <w:t>о</w:t>
      </w:r>
      <w:r w:rsidRPr="00677009">
        <w:rPr>
          <w:color w:val="000000"/>
        </w:rPr>
        <w:t>ектирования печатных плат. Понятие символа, корпуса и компонента, утилиты "</w:t>
      </w:r>
      <w:proofErr w:type="spellStart"/>
      <w:r w:rsidRPr="00677009">
        <w:rPr>
          <w:color w:val="000000"/>
        </w:rPr>
        <w:t>Symbol</w:t>
      </w:r>
      <w:proofErr w:type="spellEnd"/>
      <w:r w:rsidRPr="00677009">
        <w:rPr>
          <w:color w:val="000000"/>
        </w:rPr>
        <w:t xml:space="preserve"> </w:t>
      </w:r>
      <w:proofErr w:type="spellStart"/>
      <w:r w:rsidRPr="00677009">
        <w:rPr>
          <w:color w:val="000000"/>
        </w:rPr>
        <w:t>Editor</w:t>
      </w:r>
      <w:proofErr w:type="spellEnd"/>
      <w:r w:rsidRPr="00677009">
        <w:rPr>
          <w:color w:val="000000"/>
        </w:rPr>
        <w:t>", "</w:t>
      </w:r>
      <w:proofErr w:type="spellStart"/>
      <w:r w:rsidRPr="00677009">
        <w:rPr>
          <w:color w:val="000000"/>
        </w:rPr>
        <w:t>Patterrn</w:t>
      </w:r>
      <w:proofErr w:type="spellEnd"/>
      <w:r w:rsidRPr="00677009">
        <w:rPr>
          <w:color w:val="000000"/>
        </w:rPr>
        <w:t xml:space="preserve"> </w:t>
      </w:r>
      <w:proofErr w:type="spellStart"/>
      <w:r w:rsidRPr="00677009">
        <w:rPr>
          <w:color w:val="000000"/>
        </w:rPr>
        <w:t>Editor</w:t>
      </w:r>
      <w:proofErr w:type="spellEnd"/>
      <w:r w:rsidRPr="00677009">
        <w:rPr>
          <w:color w:val="000000"/>
        </w:rPr>
        <w:t>", редактор "</w:t>
      </w:r>
      <w:proofErr w:type="spellStart"/>
      <w:r w:rsidRPr="00677009">
        <w:rPr>
          <w:color w:val="000000"/>
        </w:rPr>
        <w:t>Library</w:t>
      </w:r>
      <w:proofErr w:type="spellEnd"/>
      <w:r w:rsidRPr="00677009">
        <w:rPr>
          <w:color w:val="000000"/>
        </w:rPr>
        <w:t xml:space="preserve"> </w:t>
      </w:r>
      <w:proofErr w:type="spellStart"/>
      <w:r w:rsidRPr="00677009">
        <w:rPr>
          <w:color w:val="000000"/>
        </w:rPr>
        <w:t>Executive</w:t>
      </w:r>
      <w:proofErr w:type="spellEnd"/>
      <w:r w:rsidRPr="00677009">
        <w:rPr>
          <w:color w:val="000000"/>
        </w:rPr>
        <w:t>". Приемы выполнения условных графических изображений, посадочных мест ЭРЭ и компонентов. Графич</w:t>
      </w:r>
      <w:r w:rsidRPr="00677009">
        <w:rPr>
          <w:color w:val="000000"/>
        </w:rPr>
        <w:t>е</w:t>
      </w:r>
      <w:r w:rsidRPr="00677009">
        <w:rPr>
          <w:color w:val="000000"/>
        </w:rPr>
        <w:t>ский редактор для создания и редактирования принципиальной схемы. Приемы в</w:t>
      </w:r>
      <w:r w:rsidRPr="00677009">
        <w:rPr>
          <w:color w:val="000000"/>
        </w:rPr>
        <w:t>ы</w:t>
      </w:r>
      <w:r w:rsidRPr="00677009">
        <w:rPr>
          <w:color w:val="000000"/>
        </w:rPr>
        <w:t>полнения и редактирования электрических принципиальных схем. Размещение ко</w:t>
      </w:r>
      <w:r w:rsidRPr="00677009">
        <w:rPr>
          <w:color w:val="000000"/>
        </w:rPr>
        <w:t>м</w:t>
      </w:r>
      <w:r w:rsidRPr="00677009">
        <w:rPr>
          <w:color w:val="000000"/>
        </w:rPr>
        <w:t>понентов УГО на листе чертежа, создание электрических связей между выводами, создание файла соединений. Проверка корректности электрических связей. Графич</w:t>
      </w:r>
      <w:r w:rsidRPr="00677009">
        <w:rPr>
          <w:color w:val="000000"/>
        </w:rPr>
        <w:t>е</w:t>
      </w:r>
      <w:r w:rsidRPr="00677009">
        <w:rPr>
          <w:color w:val="000000"/>
        </w:rPr>
        <w:t>ский редактор для трассировки проводников печатной платы. Настройка стратегии и конфигурации, размещение корпусов на печатной плате, ручная, интерактивная и а</w:t>
      </w:r>
      <w:r w:rsidRPr="00677009">
        <w:rPr>
          <w:color w:val="000000"/>
        </w:rPr>
        <w:t>в</w:t>
      </w:r>
      <w:r w:rsidRPr="00677009">
        <w:rPr>
          <w:color w:val="000000"/>
        </w:rPr>
        <w:lastRenderedPageBreak/>
        <w:t>томатическая трассировка проводников. Проверка соблюдения правил и ограничений. Подготовка файлов для технологического оборудования.</w:t>
      </w:r>
    </w:p>
    <w:p w:rsidR="00677009" w:rsidRPr="00677009" w:rsidRDefault="00677009" w:rsidP="00677009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4"/>
          <w:szCs w:val="24"/>
        </w:rPr>
      </w:pPr>
      <w:r w:rsidRPr="00677009">
        <w:rPr>
          <w:color w:val="000000"/>
          <w:sz w:val="24"/>
          <w:szCs w:val="24"/>
        </w:rPr>
        <w:t>Интерфейс, настройка конфигурации системы. Параметрические возможности сист</w:t>
      </w:r>
      <w:r w:rsidRPr="00677009">
        <w:rPr>
          <w:color w:val="000000"/>
          <w:sz w:val="24"/>
          <w:szCs w:val="24"/>
        </w:rPr>
        <w:t>е</w:t>
      </w:r>
      <w:r w:rsidRPr="00677009">
        <w:rPr>
          <w:color w:val="000000"/>
          <w:sz w:val="24"/>
          <w:szCs w:val="24"/>
        </w:rPr>
        <w:t>мы. Графический редактор чертежей деталей и сборочных чертежей. Панели инстр</w:t>
      </w:r>
      <w:r w:rsidRPr="00677009">
        <w:rPr>
          <w:color w:val="000000"/>
          <w:sz w:val="24"/>
          <w:szCs w:val="24"/>
        </w:rPr>
        <w:t>у</w:t>
      </w:r>
      <w:r w:rsidRPr="00677009">
        <w:rPr>
          <w:color w:val="000000"/>
          <w:sz w:val="24"/>
          <w:szCs w:val="24"/>
        </w:rPr>
        <w:t>ментов, графические примитивы, виды документов. Приемы выполнения и редакт</w:t>
      </w:r>
      <w:r w:rsidRPr="00677009">
        <w:rPr>
          <w:color w:val="000000"/>
          <w:sz w:val="24"/>
          <w:szCs w:val="24"/>
        </w:rPr>
        <w:t>и</w:t>
      </w:r>
      <w:r w:rsidRPr="00677009">
        <w:rPr>
          <w:color w:val="000000"/>
          <w:sz w:val="24"/>
          <w:szCs w:val="24"/>
        </w:rPr>
        <w:t>рования чертежей, нанесение размеров и условных обозначений, разрезы и сечения. Виды, слои, масштабы. Библиотеки стандартных элементов и материалов. Операции со спецификацией. Редактор для создания трехмерных моделей деталей и сборок. Приемы выполнения и редактирования деталей. Формообразующие операции: выда</w:t>
      </w:r>
      <w:r w:rsidRPr="00677009">
        <w:rPr>
          <w:color w:val="000000"/>
          <w:sz w:val="24"/>
          <w:szCs w:val="24"/>
        </w:rPr>
        <w:t>в</w:t>
      </w:r>
      <w:r w:rsidRPr="00677009">
        <w:rPr>
          <w:color w:val="000000"/>
          <w:sz w:val="24"/>
          <w:szCs w:val="24"/>
        </w:rPr>
        <w:t>ливания, вращения, кинематическая, по сечениям. Операции приклеивания и вырез</w:t>
      </w:r>
      <w:r w:rsidRPr="00677009">
        <w:rPr>
          <w:color w:val="000000"/>
          <w:sz w:val="24"/>
          <w:szCs w:val="24"/>
        </w:rPr>
        <w:t>а</w:t>
      </w:r>
      <w:r w:rsidRPr="00677009">
        <w:rPr>
          <w:color w:val="000000"/>
          <w:sz w:val="24"/>
          <w:szCs w:val="24"/>
        </w:rPr>
        <w:t>ния. Приемы создания сборок, сопряжения. Создание ассоциированных видов деталей и сборок. Импорт и экспорт информации, совместимость с другими САПР.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E24" w:rsidRDefault="009E2E24" w:rsidP="0013300F">
      <w:pPr>
        <w:spacing w:line="240" w:lineRule="auto"/>
      </w:pPr>
      <w:r>
        <w:separator/>
      </w:r>
    </w:p>
  </w:endnote>
  <w:endnote w:type="continuationSeparator" w:id="0">
    <w:p w:rsidR="009E2E24" w:rsidRDefault="009E2E24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C749DD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B81B64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E24" w:rsidRDefault="009E2E24" w:rsidP="0013300F">
      <w:pPr>
        <w:spacing w:line="240" w:lineRule="auto"/>
      </w:pPr>
      <w:r>
        <w:separator/>
      </w:r>
    </w:p>
  </w:footnote>
  <w:footnote w:type="continuationSeparator" w:id="0">
    <w:p w:rsidR="009E2E24" w:rsidRDefault="009E2E24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4FB1EFA"/>
    <w:multiLevelType w:val="hybridMultilevel"/>
    <w:tmpl w:val="2A3E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C2B2C95"/>
    <w:multiLevelType w:val="hybridMultilevel"/>
    <w:tmpl w:val="342605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7"/>
  </w:num>
  <w:num w:numId="10">
    <w:abstractNumId w:val="12"/>
  </w:num>
  <w:num w:numId="11">
    <w:abstractNumId w:val="22"/>
  </w:num>
  <w:num w:numId="12">
    <w:abstractNumId w:val="28"/>
  </w:num>
  <w:num w:numId="13">
    <w:abstractNumId w:val="49"/>
  </w:num>
  <w:num w:numId="14">
    <w:abstractNumId w:val="23"/>
  </w:num>
  <w:num w:numId="15">
    <w:abstractNumId w:val="29"/>
  </w:num>
  <w:num w:numId="16">
    <w:abstractNumId w:val="43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4"/>
  </w:num>
  <w:num w:numId="26">
    <w:abstractNumId w:val="48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6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5"/>
  </w:num>
  <w:num w:numId="44">
    <w:abstractNumId w:val="4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22A5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77009"/>
    <w:rsid w:val="0068350C"/>
    <w:rsid w:val="00686650"/>
    <w:rsid w:val="00692B3D"/>
    <w:rsid w:val="006A0F67"/>
    <w:rsid w:val="006A3C26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3569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E2E24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1B64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49DD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2EE8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52B2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677009"/>
    <w:pPr>
      <w:ind w:left="720"/>
      <w:contextualSpacing/>
    </w:pPr>
  </w:style>
  <w:style w:type="paragraph" w:styleId="afb">
    <w:name w:val="Normal (Web)"/>
    <w:basedOn w:val="a"/>
    <w:uiPriority w:val="99"/>
    <w:unhideWhenUsed/>
    <w:locked/>
    <w:rsid w:val="00677009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2021-12-04T11:24:00Z</dcterms:created>
  <dcterms:modified xsi:type="dcterms:W3CDTF">2023-07-27T09:55:00Z</dcterms:modified>
</cp:coreProperties>
</file>