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ind w:firstLine="709"/>
        <w:jc w:val="right"/>
        <w:rPr>
          <w:rFonts w:ascii="Times New Roman" w:hAnsi="Times New Roman" w:eastAsia="Times New Roman" w:cs="Times New Roman"/>
          <w:caps/>
          <w:sz w:val="28"/>
        </w:rPr>
      </w:pPr>
      <w:r>
        <w:rPr>
          <w:rFonts w:eastAsia="Times New Roman" w:cs="Times New Roman" w:ascii="Times New Roman" w:hAnsi="Times New Roman"/>
          <w:caps/>
          <w:sz w:val="28"/>
        </w:rPr>
        <w:t xml:space="preserve">ПрИЛОЖЕНИЕ </w:t>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МИНИСТЕРСТВО  НАУКИ И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РОССИЙСКОЙ ФЕДЕРАЦИИ</w:t>
      </w:r>
    </w:p>
    <w:p>
      <w:pPr>
        <w:pStyle w:val="Normal"/>
        <w:suppressAutoHyphens w:val="true"/>
        <w:spacing w:lineRule="auto" w:line="264" w:before="0" w:after="0"/>
        <w:jc w:val="center"/>
        <w:rPr>
          <w:rFonts w:ascii="Times New Roman" w:hAnsi="Times New Roman" w:eastAsia="Times New Roman" w:cs="Times New Roman"/>
          <w:sz w:val="28"/>
        </w:rPr>
      </w:pPr>
      <w:r>
        <w:rPr>
          <w:rFonts w:eastAsia="Times New Roman" w:cs="Times New Roman" w:ascii="Times New Roman" w:hAnsi="Times New Roman"/>
          <w:sz w:val="28"/>
        </w:rPr>
        <w:t xml:space="preserve">Федеральное государственное бюджетное образовательное </w:t>
      </w:r>
    </w:p>
    <w:p>
      <w:pPr>
        <w:pStyle w:val="Normal"/>
        <w:suppressAutoHyphens w:val="true"/>
        <w:spacing w:lineRule="auto" w:line="264" w:before="0" w:after="0"/>
        <w:jc w:val="center"/>
        <w:rPr>
          <w:rFonts w:ascii="Times New Roman" w:hAnsi="Times New Roman" w:eastAsia="Times New Roman" w:cs="Times New Roman"/>
          <w:b/>
          <w:b/>
          <w:sz w:val="28"/>
        </w:rPr>
      </w:pPr>
      <w:r>
        <w:rPr>
          <w:rFonts w:eastAsia="Times New Roman" w:cs="Times New Roman" w:ascii="Times New Roman" w:hAnsi="Times New Roman"/>
          <w:sz w:val="28"/>
        </w:rPr>
        <w:t>учреждение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 xml:space="preserve">«РЯЗАНСКИЙ ГОСУДАРСТВЕННЫЙ РАДИОТЕХНИЧЕСКИЙ УНИВЕРСИТЕТ </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ИМЕНИ В.Ф. УТКИНА»</w:t>
      </w:r>
    </w:p>
    <w:p>
      <w:pPr>
        <w:pStyle w:val="Normal"/>
        <w:keepNext w:val="true"/>
        <w:suppressAutoHyphens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Кафедра «Безопасность жизнедеятельности и экологии»</w:t>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color w:val="000000"/>
          <w:sz w:val="28"/>
          <w:shd w:fill="FFFFFF" w:val="clear"/>
        </w:rPr>
        <w:t>МЕТОДИЧЕСКОЕ ОБЕСПЕЧЕНИЕ ДИСЦИПЛИНЫ</w:t>
      </w:r>
    </w:p>
    <w:p>
      <w:pPr>
        <w:pStyle w:val="Normal"/>
        <w:keepNext w:val="true"/>
        <w:spacing w:lineRule="auto" w:line="240" w:before="0" w:after="0"/>
        <w:jc w:val="center"/>
        <w:rPr>
          <w:rFonts w:ascii="Times New Roman" w:hAnsi="Times New Roman" w:eastAsia="Times New Roman" w:cs="Times New Roman"/>
          <w:b/>
          <w:b/>
          <w:color w:val="000000"/>
          <w:sz w:val="27"/>
          <w:shd w:fill="FFFFFF" w:val="clear"/>
        </w:rPr>
      </w:pPr>
      <w:r>
        <w:rPr>
          <w:rFonts w:eastAsia="Times New Roman" w:cs="Times New Roman" w:ascii="Times New Roman" w:hAnsi="Times New Roman"/>
          <w:b/>
          <w:color w:val="000000"/>
          <w:sz w:val="27"/>
          <w:shd w:fill="FFFFFF" w:val="clear"/>
        </w:rPr>
      </w:r>
    </w:p>
    <w:p>
      <w:pPr>
        <w:pStyle w:val="Normal"/>
        <w:spacing w:lineRule="auto" w:line="240" w:before="0" w:after="0"/>
        <w:jc w:val="center"/>
        <w:rPr>
          <w:rFonts w:ascii="Times New Roman" w:hAnsi="Times New Roman" w:eastAsia="Times New Roman" w:cs="Times New Roman"/>
          <w:b/>
          <w:b/>
          <w:sz w:val="28"/>
          <w:shd w:fill="FFFFFF" w:val="clear"/>
        </w:rPr>
      </w:pPr>
      <w:r>
        <w:rPr>
          <w:rFonts w:eastAsia="Times New Roman" w:cs="Times New Roman" w:ascii="Times New Roman" w:hAnsi="Times New Roman"/>
          <w:b/>
          <w:sz w:val="28"/>
          <w:shd w:fill="FFFFFF" w:val="clear"/>
        </w:rPr>
        <w:t xml:space="preserve">Б1.В.16  «ЭЛЕКТРОБЕЗОПАСНОСТЬ В ЭЛЕКТРОЭНЕРГЕТИКЕ И </w:t>
      </w:r>
    </w:p>
    <w:p>
      <w:pPr>
        <w:pStyle w:val="Normal"/>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sz w:val="28"/>
          <w:shd w:fill="FFFFFF" w:val="clear"/>
        </w:rPr>
        <w:t>ЭЛЕКТРОТЕХНИКЕ»</w:t>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64"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Направление подготовки</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13.03.02  Электроэнергетика и электротехника</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Профиль:</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Электроснабжение</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Квалификация выпускника – бакалавр</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Форма обучения – </w:t>
      </w:r>
      <w:r>
        <w:rPr>
          <w:rFonts w:eastAsia="Times New Roman" w:cs="Times New Roman" w:ascii="Times New Roman" w:hAnsi="Times New Roman"/>
          <w:color w:val="000000"/>
          <w:sz w:val="28"/>
          <w:lang w:val="ru-RU"/>
        </w:rPr>
        <w:t>за</w:t>
      </w:r>
      <w:r>
        <w:rPr>
          <w:rFonts w:eastAsia="Times New Roman" w:cs="Times New Roman" w:ascii="Times New Roman" w:hAnsi="Times New Roman"/>
          <w:color w:val="000000"/>
          <w:sz w:val="28"/>
        </w:rPr>
        <w:t>очная</w:t>
      </w:r>
    </w:p>
    <w:p>
      <w:pPr>
        <w:pStyle w:val="Normal"/>
        <w:tabs>
          <w:tab w:val="clear" w:pos="708"/>
          <w:tab w:val="left" w:pos="2694"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Рязань 2023</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numPr>
          <w:ilvl w:val="0"/>
          <w:numId w:val="0"/>
        </w:numPr>
        <w:spacing w:lineRule="auto" w:line="240" w:before="0" w:after="0"/>
        <w:ind w:left="1069" w:hanging="0"/>
        <w:jc w:val="center"/>
        <w:rPr>
          <w:rFonts w:ascii="Times New Roman" w:hAnsi="Times New Roman" w:eastAsia="Times New Roman" w:cs="Times New Roman"/>
          <w:b/>
          <w:b/>
        </w:rPr>
      </w:pPr>
      <w:r>
        <w:rPr>
          <w:rFonts w:eastAsia="Times New Roman" w:cs="Times New Roman" w:ascii="Times New Roman" w:hAnsi="Times New Roman"/>
          <w:b/>
        </w:rPr>
        <w:t xml:space="preserve">1. МЕТОДИЧЕСКИЕ УКАЗАНИЯ ДЛЯ ОБУЧАЮЩИХСЯ ПО ОСВОЕНИЮ ДИСЦИПЛИНЫ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rPr>
        <w:t>Описание последовательности действий студента («сценарий изучения дисциплины»)</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при подготовке к следующей лекции, нужно просмотреть текст предыдущей лекции (45-50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зачету: необходимо ориентироваться на конспекты лекций, рекомендуемую литературу и др.</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i/>
          <w:i/>
        </w:rPr>
      </w:pPr>
      <w:r>
        <w:rPr>
          <w:rFonts w:eastAsia="Times New Roman" w:cs="Times New Roman" w:ascii="Times New Roman" w:hAnsi="Times New Roman"/>
          <w:b/>
          <w:i/>
        </w:rPr>
        <w:t>Рекомендации по работе с литературой</w:t>
      </w:r>
      <w:r>
        <w:rPr>
          <w:rFonts w:eastAsia="Times New Roman" w:cs="Times New Roman" w:ascii="Times New Roman" w:hAnsi="Times New Roman"/>
          <w:i/>
        </w:rPr>
        <w:t xml:space="preserve">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t>Работа студента на лекции</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написании конспекта лекций следует придерживаться следующих правил и рекомендаций:</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конспект лекций нужно записывать «своими словами» лишь после того, как излагаемый лектором тезис будет вами дослушан до конца и понят;</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рекомендуется в каждом пункте выразить свое мнение, комментарий, вывод.</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Конспект лекций каждый студент записывает лично для себя. Поэтому конспект надо писать так, чтобы им было удобно пользоваться.</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2. МЕТОДИЧЕСКИЕ УКАЗАНИЯ ПО ВЫПОЛНЕНИЮ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Лабораторные работы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Лабораторные работы выполняются с помощью лабораторных стендов бригадами по 2–4  человека.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5773), подготовить таблицы для снятия измеряемых величин.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получения зачета.</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экспериментальными и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Arial" w:hAnsi="Arial" w:eastAsia="Arial" w:cs="Arial"/>
          <w:color w:val="000000"/>
          <w:sz w:val="24"/>
        </w:rPr>
      </w:pPr>
      <w:r>
        <w:rPr>
          <w:rFonts w:eastAsia="Times New Roman" w:cs="Times New Roman" w:ascii="Times New Roman" w:hAnsi="Times New Roman"/>
          <w:color w:val="000000"/>
        </w:rPr>
        <w:t>Работа должна быть подписана и датирована студентом.</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tbl>
      <w:tblPr>
        <w:tblW w:w="9571" w:type="dxa"/>
        <w:jc w:val="center"/>
        <w:tblInd w:w="0" w:type="dxa"/>
        <w:tblLayout w:type="fixed"/>
        <w:tblCellMar>
          <w:top w:w="0" w:type="dxa"/>
          <w:left w:w="108" w:type="dxa"/>
          <w:bottom w:w="0" w:type="dxa"/>
          <w:right w:w="108" w:type="dxa"/>
        </w:tblCellMar>
        <w:tblLook w:val="0000"/>
      </w:tblPr>
      <w:tblGrid>
        <w:gridCol w:w="516"/>
        <w:gridCol w:w="1393"/>
        <w:gridCol w:w="6065"/>
        <w:gridCol w:w="1596"/>
      </w:tblGrid>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4"/>
                <w:u w:val="single"/>
              </w:rPr>
            </w:pPr>
            <w:r>
              <w:rPr>
                <w:rFonts w:eastAsia="Times New Roman" w:cs="Times New Roman" w:ascii="Times New Roman" w:hAnsi="Times New Roman"/>
                <w:color w:val="000000"/>
                <w:u w:val="single"/>
              </w:rPr>
              <w:t>№</w:t>
            </w:r>
          </w:p>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п/п</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u w:val="single"/>
              </w:rPr>
              <w:t>раздела дисциплины</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ind w:firstLine="709"/>
              <w:jc w:val="center"/>
              <w:rPr/>
            </w:pPr>
            <w:r>
              <w:rPr>
                <w:rFonts w:eastAsia="Times New Roman" w:cs="Times New Roman" w:ascii="Times New Roman" w:hAnsi="Times New Roman"/>
                <w:color w:val="000000"/>
                <w:u w:val="single"/>
              </w:rPr>
              <w:t>Наименование лабораторной работы</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Трудоёмкость, час</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sz w:val="24"/>
              </w:rPr>
              <w:t>Оценка опасности поражения человека в электрических сетях</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r>
              <w:rPr>
                <w:rFonts w:eastAsia="Times New Roman" w:cs="Times New Roman" w:ascii="Times New Roman" w:hAnsi="Times New Roman"/>
                <w:color w:val="000000"/>
                <w:u w:val="single"/>
              </w:rPr>
              <w:t>.</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зануления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bl>
    <w:p>
      <w:pPr>
        <w:pStyle w:val="Normal"/>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учебно-методического обеспечения лабораторных работ</w:t>
      </w:r>
    </w:p>
    <w:p>
      <w:pPr>
        <w:pStyle w:val="Normal"/>
        <w:spacing w:lineRule="auto" w:line="240" w:before="0" w:after="0"/>
        <w:ind w:firstLine="709"/>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0"/>
        </w:numPr>
        <w:spacing w:lineRule="auto" w:line="24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1.Обеспечение безопасности в электроустановках: методические указания к лабораторным работам /В.Е. Болтнев, С.И. Кордюков. Рязань: РГРТУ, 2020. – 80 с.(№5773).</w:t>
      </w:r>
    </w:p>
    <w:p>
      <w:pPr>
        <w:pStyle w:val="Style20"/>
        <w:widowControl w:val="false"/>
        <w:numPr>
          <w:ilvl w:val="0"/>
          <w:numId w:val="0"/>
        </w:numPr>
        <w:tabs>
          <w:tab w:val="clear" w:pos="708"/>
          <w:tab w:val="left" w:pos="993" w:leader="none"/>
        </w:tabs>
        <w:suppressAutoHyphens w:val="false"/>
        <w:spacing w:before="0" w:after="0"/>
        <w:ind w:left="0" w:hanging="0"/>
        <w:rPr>
          <w:color w:val="000000"/>
          <w:sz w:val="22"/>
          <w:szCs w:val="22"/>
        </w:rPr>
      </w:pPr>
      <w:r>
        <w:rPr>
          <w:rFonts w:eastAsia="Times New Roman" w:cs="Times New Roman" w:ascii="Times New Roman" w:hAnsi="Times New Roman"/>
          <w:bCs/>
          <w:sz w:val="22"/>
          <w:szCs w:val="22"/>
        </w:rPr>
        <w:t xml:space="preserve">       </w:t>
      </w:r>
      <w:r>
        <w:rPr>
          <w:rFonts w:eastAsia="Times New Roman" w:cs="Times New Roman" w:ascii="Times New Roman" w:hAnsi="Times New Roman"/>
          <w:bCs/>
          <w:sz w:val="22"/>
          <w:szCs w:val="22"/>
        </w:rPr>
        <w:t>2. Зайцев Ю.В., Чернышев С.В.</w:t>
      </w:r>
      <w:r>
        <w:rPr>
          <w:rFonts w:eastAsia="Times New Roman" w:cs="Times New Roman" w:ascii="Times New Roman" w:hAnsi="Times New Roman"/>
          <w:b/>
          <w:bCs/>
          <w:sz w:val="22"/>
          <w:szCs w:val="22"/>
        </w:rPr>
        <w:t xml:space="preserve"> </w:t>
      </w:r>
      <w:r>
        <w:rPr>
          <w:rFonts w:eastAsia="Times New Roman" w:cs="Times New Roman" w:ascii="Times New Roman" w:hAnsi="Times New Roman"/>
          <w:sz w:val="22"/>
          <w:szCs w:val="22"/>
        </w:rPr>
        <w:t xml:space="preserve">Безопасность жизнедеятельности: учебник для вузов. – Москва: КУРС, 2020. – 248 с. </w:t>
      </w:r>
      <w:r>
        <w:rPr>
          <w:rFonts w:eastAsia="Times New Roman" w:cs="Times New Roman" w:ascii="Times New Roman" w:hAnsi="Times New Roman"/>
          <w:bCs/>
          <w:sz w:val="22"/>
          <w:szCs w:val="22"/>
          <w:lang w:val="en-US"/>
        </w:rPr>
        <w:t>URL</w:t>
      </w:r>
      <w:r>
        <w:rPr>
          <w:rFonts w:eastAsia="Times New Roman" w:cs="Times New Roman" w:ascii="Times New Roman" w:hAnsi="Times New Roman"/>
          <w:bCs/>
          <w:sz w:val="22"/>
          <w:szCs w:val="22"/>
        </w:rPr>
        <w:t xml:space="preserve">: </w:t>
      </w:r>
      <w:hyperlink r:id="rId2">
        <w:r>
          <w:rPr>
            <w:rFonts w:eastAsia="Times New Roman" w:cs="Times New Roman" w:ascii="Times New Roman" w:hAnsi="Times New Roman"/>
            <w:bCs/>
            <w:sz w:val="22"/>
            <w:szCs w:val="22"/>
          </w:rPr>
          <w:t>https://elib.rsreu.ru/ebs/download/2692</w:t>
        </w:r>
      </w:hyperlink>
    </w:p>
    <w:p>
      <w:pPr>
        <w:pStyle w:val="Normal"/>
        <w:numPr>
          <w:ilvl w:val="0"/>
          <w:numId w:val="0"/>
        </w:numPr>
        <w:spacing w:lineRule="auto" w:line="240"/>
        <w:ind w:left="36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3.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3">
        <w:r>
          <w:rPr>
            <w:rFonts w:eastAsia="MS Sans Serif" w:cs="MS Sans Serif" w:ascii="MS Sans Serif" w:hAnsi="MS Sans Serif"/>
            <w:color w:val="0000FF"/>
            <w:sz w:val="24"/>
            <w:u w:val="single"/>
            <w:shd w:fill="FCFCFC" w:val="clear"/>
          </w:rPr>
          <w:t>http://www.iprbookshop.ru/73623.html</w:t>
        </w:r>
      </w:hyperlink>
    </w:p>
    <w:p>
      <w:pPr>
        <w:pStyle w:val="Normal"/>
        <w:numPr>
          <w:ilvl w:val="0"/>
          <w:numId w:val="0"/>
        </w:numPr>
        <w:spacing w:lineRule="auto" w:line="240" w:before="0" w:after="0"/>
        <w:ind w:left="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3. МЕТОДИЧЕСКИЕ УКАЗАНИЯ ПО ВЫПОЛНЕНИЮ ПРАКТИЧЕСКИХ ЗАНЯТИЙ</w:t>
      </w:r>
    </w:p>
    <w:p>
      <w:pPr>
        <w:pStyle w:val="Normal"/>
        <w:keepNext w:val="true"/>
        <w:numPr>
          <w:ilvl w:val="0"/>
          <w:numId w:val="3"/>
        </w:numPr>
        <w:spacing w:lineRule="auto" w:line="240" w:before="0" w:after="0"/>
        <w:ind w:left="284" w:hanging="284"/>
        <w:jc w:val="center"/>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Практические занятия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практических занятий студент должен изучить основные положения теории из лекционного курса.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оценивания знаний на экзамене.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Работа должна быть подписана и датирована студентом.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практических занятий</w:t>
      </w:r>
    </w:p>
    <w:tbl>
      <w:tblPr>
        <w:tblW w:w="9460" w:type="dxa"/>
        <w:jc w:val="left"/>
        <w:tblInd w:w="203" w:type="dxa"/>
        <w:tblLayout w:type="fixed"/>
        <w:tblCellMar>
          <w:top w:w="0" w:type="dxa"/>
          <w:left w:w="106" w:type="dxa"/>
          <w:bottom w:w="0" w:type="dxa"/>
          <w:right w:w="106" w:type="dxa"/>
        </w:tblCellMar>
        <w:tblLook w:val="0000"/>
      </w:tblPr>
      <w:tblGrid>
        <w:gridCol w:w="845"/>
        <w:gridCol w:w="6945"/>
        <w:gridCol w:w="1670"/>
      </w:tblGrid>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работы</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Название практического занятия\ раздел</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Трудоемкость, час</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1</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Анализ опасности поражения  током в электрических сетях\ 1</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2</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Простые групповые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bl>
    <w:p>
      <w:pPr>
        <w:pStyle w:val="Normal"/>
        <w:spacing w:lineRule="auto" w:line="240"/>
        <w:ind w:firstLine="709"/>
        <w:jc w:val="both"/>
        <w:rPr>
          <w:rFonts w:ascii="Times New Roman" w:hAnsi="Times New Roman" w:eastAsia="Times New Roman" w:cs="Times New Roman"/>
          <w:b/>
          <w:b/>
          <w:sz w:val="24"/>
          <w:shd w:fill="FFFFFF" w:val="clear"/>
        </w:rPr>
      </w:pPr>
      <w:r>
        <w:rPr>
          <w:rFonts w:eastAsia="Times New Roman" w:cs="Times New Roman" w:ascii="Times New Roman" w:hAnsi="Times New Roman"/>
          <w:b/>
          <w:sz w:val="24"/>
          <w:shd w:fill="FFFFFF" w:val="clear"/>
        </w:rPr>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b/>
        </w:rPr>
        <w:t>Перечень учебно-методического обеспечения  практических занятий</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uppressAutoHyphens w:val="true"/>
        <w:spacing w:lineRule="auto" w:line="240" w:before="0" w:after="0"/>
        <w:ind w:firstLine="709"/>
        <w:jc w:val="both"/>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1. Обеспечение безопасности в электроустановках: методические указания к практическим занятиям </w:t>
      </w:r>
      <w:r>
        <w:rPr>
          <w:rFonts w:eastAsia="Times New Roman" w:cs="Times New Roman" w:ascii="Times New Roman" w:hAnsi="Times New Roman"/>
          <w:b w:val="false"/>
          <w:bCs w:val="false"/>
          <w:sz w:val="24"/>
        </w:rPr>
        <w:t>/ С.И. Кордюков. Рязань: РГРТУ, 2022. – 84 с.(№7305).</w:t>
      </w:r>
    </w:p>
    <w:p>
      <w:pPr>
        <w:pStyle w:val="Normal"/>
        <w:numPr>
          <w:ilvl w:val="0"/>
          <w:numId w:val="0"/>
        </w:numPr>
        <w:spacing w:lineRule="auto" w:line="240"/>
        <w:ind w:left="72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2.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5">
        <w:r>
          <w:rPr>
            <w:rFonts w:eastAsia="MS Sans Serif" w:cs="MS Sans Serif" w:ascii="MS Sans Serif" w:hAnsi="MS Sans Serif"/>
            <w:color w:val="0000FF"/>
            <w:sz w:val="24"/>
            <w:u w:val="single"/>
            <w:shd w:fill="FCFCFC" w:val="clear"/>
          </w:rPr>
          <w:t>http://www.iprbookshop.ru/73623.html</w:t>
        </w:r>
      </w:hyperlink>
    </w:p>
    <w:p>
      <w:pPr>
        <w:pStyle w:val="Style23"/>
        <w:numPr>
          <w:ilvl w:val="0"/>
          <w:numId w:val="0"/>
        </w:numPr>
        <w:ind w:left="0" w:hanging="0"/>
        <w:jc w:val="center"/>
        <w:rPr/>
      </w:pPr>
      <w:r>
        <w:rPr>
          <w:rStyle w:val="FontStyle134"/>
          <w:bCs/>
          <w:szCs w:val="22"/>
        </w:rPr>
        <w:t xml:space="preserve">4. </w:t>
      </w: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
        <w:ind w:firstLine="709"/>
        <w:jc w:val="both"/>
        <w:rPr>
          <w:rStyle w:val="FontStyle134"/>
          <w:bCs/>
          <w:caps/>
          <w:szCs w:val="22"/>
        </w:rPr>
      </w:pPr>
      <w:r>
        <w:rPr>
          <w:bCs/>
          <w:caps/>
          <w:szCs w:val="22"/>
        </w:rPr>
      </w:r>
    </w:p>
    <w:p>
      <w:pPr>
        <w:pStyle w:val="Style23"/>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
        <w:ind w:firstLine="709"/>
        <w:jc w:val="both"/>
        <w:rPr/>
      </w:pPr>
      <w:r>
        <w:rPr/>
        <w:t xml:space="preserve">Структура контрольной работы: </w:t>
      </w:r>
    </w:p>
    <w:p>
      <w:pPr>
        <w:pStyle w:val="Style23"/>
        <w:ind w:firstLine="709"/>
        <w:jc w:val="both"/>
        <w:rPr/>
      </w:pPr>
      <w:r>
        <w:rPr/>
        <w:t xml:space="preserve">• </w:t>
      </w:r>
      <w:r>
        <w:rPr/>
        <w:t xml:space="preserve">Титульный лист. </w:t>
      </w:r>
    </w:p>
    <w:p>
      <w:pPr>
        <w:pStyle w:val="Style23"/>
        <w:ind w:firstLine="709"/>
        <w:jc w:val="both"/>
        <w:rPr/>
      </w:pPr>
      <w:r>
        <w:rPr/>
        <w:t xml:space="preserve">• </w:t>
      </w:r>
      <w:r>
        <w:rPr/>
        <w:t xml:space="preserve">Оглавление. </w:t>
      </w:r>
    </w:p>
    <w:p>
      <w:pPr>
        <w:pStyle w:val="Style23"/>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
        <w:ind w:firstLine="709"/>
        <w:jc w:val="both"/>
        <w:rPr>
          <w:rFonts w:ascii="MS Sans Serif" w:hAnsi="MS Sans Serif" w:eastAsia="MS Sans Serif" w:cs="MS Sans Serif"/>
          <w:color w:val="0000FF"/>
          <w:sz w:val="24"/>
          <w:u w:val="single"/>
          <w:shd w:fill="FCFCFC" w:val="clear"/>
        </w:rPr>
      </w:pPr>
      <w:r>
        <w:rPr/>
      </w:r>
    </w:p>
    <w:p>
      <w:pPr>
        <w:pStyle w:val="Style23"/>
        <w:numPr>
          <w:ilvl w:val="0"/>
          <w:numId w:val="0"/>
        </w:numPr>
        <w:ind w:left="284"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caps/>
        </w:rPr>
      </w:pPr>
      <w:r>
        <w:rPr>
          <w:rFonts w:eastAsia="Times New Roman" w:cs="Times New Roman" w:ascii="Times New Roman" w:hAnsi="Times New Roman"/>
          <w:b/>
        </w:rPr>
        <w:t xml:space="preserve">5.  МЕТОДИЧЕСКИЕ УКАЗАНИЯ ПО </w:t>
      </w:r>
      <w:r>
        <w:rPr>
          <w:rFonts w:eastAsia="Times New Roman" w:cs="Times New Roman" w:ascii="Times New Roman" w:hAnsi="Times New Roman"/>
          <w:b/>
          <w:caps/>
        </w:rPr>
        <w:t>подготовке к ЭКЗАМЕНУ</w:t>
      </w:r>
    </w:p>
    <w:p>
      <w:pPr>
        <w:pStyle w:val="Normal"/>
        <w:keepNext w:val="true"/>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b/>
          <w:b/>
          <w:i/>
          <w:i/>
          <w:sz w:val="24"/>
        </w:rPr>
      </w:pPr>
      <w:r>
        <w:rPr>
          <w:rFonts w:eastAsia="Times New Roman" w:cs="Times New Roman" w:ascii="Times New Roman" w:hAnsi="Times New Roman"/>
          <w:b/>
          <w:i/>
          <w:sz w:val="24"/>
        </w:rPr>
        <w:t>Подготовка к сдаче экзамена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Экзамен – форма промежуточной проверки знаний, умений, владений, степени освоения дисциплины.</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На экзамене оцениваются:</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понимание и степень усвоения теории;</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методическая подготовка;</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знание фактического материала;</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знакомство с основной и дополнительно литературой, а также с современными публикациями по данному курсу;</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умение приложить теорию к практике, решать задачи, тесты, правильно проводить расчеты и т. д.;</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логика, структура и стиль ответа, умение защищать выдвигаемые положения.</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В конце семестра при подготовке к экзамену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suppressAutoHyphens w:val="true"/>
        <w:spacing w:lineRule="auto" w:line="240" w:before="0" w:after="0"/>
        <w:ind w:right="84" w:firstLine="708"/>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color w:val="000000"/>
          <w:shd w:fill="FFFFFF" w:val="clear"/>
        </w:rPr>
        <w:t xml:space="preserve">Примерный перечень вопросов </w:t>
      </w:r>
      <w:r>
        <w:rPr>
          <w:rFonts w:eastAsia="Times New Roman" w:cs="Times New Roman" w:ascii="Times New Roman" w:hAnsi="Times New Roman"/>
          <w:b/>
        </w:rPr>
        <w:t>к экзамену</w:t>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по дисциплине «Электробезопасность в электроэнергетике и электротехнике»</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термины и определения.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электрических сетей.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Системы электрических сетей, обозначение.</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Сопротивление изоляции и емкость сети относительно земли.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условиям среды, по опасности поражения человека током.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доступности электрооборудования, по условиям электробезопасности.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электрических изделий по способу защиты людей от поражения электрическим током.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категории электроприемников и обеспечение надежности электроснабжения.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требования к применению защит от поражения электрическим током. Трехуровневая защита.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Область применения защитного заземления и зануления. Виды заземления и зануления.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способы строительства заземления. Достоинства и недостатки.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Электроустановки и их части, подлежащии защитному заземлению и занулению.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Виды заземляющих устройств и требования предъявляемые к ним.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Проверка заземления и зануления.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монтажу заземляющих устройств. Расположение шин.</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эффективно заземленной нейтралью.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изолированной нейтралью.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до 1.кВ в сетях с глухозаземленной и изолированными нейтралями.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устройству и применению заземляющих и защитных проводников.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переносные электроприемники.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осветительные установки.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электроустановки, содержащие оборудование обработки информации.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Маркировка и условные обозначения характеристик электротехнических устройств.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защита плавкими предохранителями.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электромагнитным расцепителем.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тепловым расцепителем.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выбор автоматических выключаталей.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дифференциальный ток.</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потенциал корпуса относительно земли.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Нормируемые параметры и классификации УЗО.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TN-C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TN-S, TN-C-S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TT, IT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Изоляция электроустановок и её контроль.</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Двойная изоляция и применение малых напряжений.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Указатели напряжения. Указатели напряжения для фазировки.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Электрическое разделение сетей.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от перехода напряжения выше 1000 В в сеть напряжением до 1000 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Защитные средства, применяемые в электроустановках. Определения, классификация.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Изолирующие защитные средства.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Статическое электричество и защита от него.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Атмосферное электричество и защита от него.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Пожаро- и взрывобезопасность в электроустановках.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персонала. Подготовка электротехнического персонала.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Организационные мероприятия, обеспечивающие безопасность работ.</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Технические мероприятия, обеспечивающие безопасность работ со снятием напряжения.</w:t>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color w:val="7030A0"/>
        </w:rPr>
      </w:pPr>
      <w:r>
        <w:rPr>
          <w:rFonts w:eastAsia="Times New Roman" w:cs="Times New Roman" w:ascii="Times New Roman" w:hAnsi="Times New Roman"/>
          <w:color w:val="7030A0"/>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MS Sans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FontStyle134">
    <w:name w:val="Font Style134"/>
    <w:qFormat/>
    <w:rPr>
      <w:rFonts w:ascii="Times New Roman" w:hAnsi="Times New Roman"/>
      <w:b/>
      <w:sz w:val="2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Body Text Indent"/>
    <w:basedOn w:val="Normal"/>
    <w:pPr>
      <w:ind w:firstLine="720"/>
    </w:pPr>
    <w:rPr/>
  </w:style>
  <w:style w:type="paragraph" w:styleId="Style23">
    <w:name w:val="Style23"/>
    <w:basedOn w:val="Normal"/>
    <w:qFormat/>
    <w:pPr>
      <w:widowControl w:val="false"/>
      <w:suppressAutoHyphens w:val="false"/>
      <w:spacing w:before="0" w:after="0"/>
      <w:ind w:hanging="0"/>
      <w:jc w:val="left"/>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692" TargetMode="External"/><Relationship Id="rId3" Type="http://schemas.openxmlformats.org/officeDocument/2006/relationships/hyperlink" Target="http://www.iprbookshop.ru/73623.html" TargetMode="External"/><Relationship Id="rId4" Type="http://schemas.openxmlformats.org/officeDocument/2006/relationships/hyperlink" Target="http://www.iprbookshop.ru/73623.html"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LibreOffice/7.4.0.3$Windows_X86_64 LibreOffice_project/f85e47c08ddd19c015c0114a68350214f7066f5a</Application>
  <AppVersion>15.0000</AppVersion>
  <Pages>7</Pages>
  <Words>1922</Words>
  <Characters>13481</Characters>
  <CharactersWithSpaces>15233</CharactersWithSpaces>
  <Paragraphs>176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2021-05-12T07:20:00Z</dcterms:created>
  <dc:creator/>
  <dc:description/>
  <dc:language>ru-RU</dc:language>
  <cp:lastModifiedBy/>
  <dcterms:modified xsi:type="dcterms:W3CDTF">2023-06-29T14:54:27Z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