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7C48A7" w:rsidRPr="007C48A7">
        <w:rPr>
          <w:b/>
        </w:rPr>
        <w:t>Методика преподавания дисциплин изобразительного искусства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6D04A6" w:rsidRDefault="006D04A6" w:rsidP="006D04A6">
      <w:pPr>
        <w:pStyle w:val="aff6"/>
        <w:spacing w:before="0" w:after="0"/>
        <w:ind w:firstLine="709"/>
      </w:pPr>
    </w:p>
    <w:p w:rsidR="006D04A6" w:rsidRDefault="006D04A6" w:rsidP="006D04A6">
      <w:pPr>
        <w:pStyle w:val="aff6"/>
        <w:spacing w:before="0" w:after="0"/>
        <w:ind w:firstLine="709"/>
      </w:pPr>
      <w:r w:rsidRPr="00210939">
        <w:t>В структурном отношении программа дисциплины представлена следующими разд</w:t>
      </w:r>
      <w:r w:rsidRPr="00210939">
        <w:t>е</w:t>
      </w:r>
      <w:r w:rsidRPr="00210939">
        <w:t>лами:</w:t>
      </w:r>
    </w:p>
    <w:p w:rsidR="006D04A6" w:rsidRPr="003F6319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  <w:r>
        <w:rPr>
          <w:rFonts w:ascii="ArialMT" w:hAnsi="ArialMT" w:cs="ArialMT"/>
          <w:i/>
        </w:rPr>
        <w:t xml:space="preserve">Тема </w:t>
      </w:r>
      <w:r w:rsidRPr="003F6319">
        <w:rPr>
          <w:rFonts w:ascii="ArialMT" w:hAnsi="ArialMT" w:cs="ArialMT"/>
          <w:i/>
        </w:rPr>
        <w:t>1.1 Методика преподавания изобразительного искусства (из истории</w:t>
      </w:r>
      <w:r>
        <w:rPr>
          <w:rFonts w:ascii="ArialMT" w:hAnsi="ArialMT" w:cs="ArialMT"/>
          <w:i/>
        </w:rPr>
        <w:t xml:space="preserve"> </w:t>
      </w:r>
      <w:r w:rsidRPr="003F6319">
        <w:rPr>
          <w:rFonts w:ascii="ArialMT" w:hAnsi="ArialMT" w:cs="ArialMT"/>
          <w:i/>
        </w:rPr>
        <w:t>развития науки)</w:t>
      </w:r>
    </w:p>
    <w:p w:rsidR="006D04A6" w:rsidRPr="003F6319" w:rsidRDefault="006D04A6" w:rsidP="006D04A6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3F6319">
        <w:rPr>
          <w:bCs/>
          <w:lang w:eastAsia="en-US"/>
        </w:rPr>
        <w:t>История развития методики преподавания изобразительного искусства в Дре</w:t>
      </w:r>
      <w:r w:rsidRPr="003F6319">
        <w:rPr>
          <w:bCs/>
          <w:lang w:eastAsia="en-US"/>
        </w:rPr>
        <w:t>в</w:t>
      </w:r>
      <w:r w:rsidRPr="003F6319">
        <w:rPr>
          <w:bCs/>
          <w:lang w:eastAsia="en-US"/>
        </w:rPr>
        <w:t>нем Египте. История развития методики преподавания изобразительного искусства Древней Гр</w:t>
      </w:r>
      <w:r w:rsidRPr="003F6319">
        <w:rPr>
          <w:bCs/>
          <w:lang w:eastAsia="en-US"/>
        </w:rPr>
        <w:t>е</w:t>
      </w:r>
      <w:r w:rsidRPr="003F6319">
        <w:rPr>
          <w:bCs/>
          <w:lang w:eastAsia="en-US"/>
        </w:rPr>
        <w:t xml:space="preserve">ции (Эфесская, </w:t>
      </w:r>
      <w:proofErr w:type="spellStart"/>
      <w:r w:rsidRPr="003F6319">
        <w:rPr>
          <w:bCs/>
          <w:lang w:eastAsia="en-US"/>
        </w:rPr>
        <w:t>сикионская</w:t>
      </w:r>
      <w:proofErr w:type="spellEnd"/>
      <w:r w:rsidRPr="003F6319">
        <w:rPr>
          <w:bCs/>
          <w:lang w:eastAsia="en-US"/>
        </w:rPr>
        <w:t>, Фиванские школы) и Риме. История развития методики препод</w:t>
      </w:r>
      <w:r w:rsidRPr="003F6319">
        <w:rPr>
          <w:bCs/>
          <w:lang w:eastAsia="en-US"/>
        </w:rPr>
        <w:t>а</w:t>
      </w:r>
      <w:r w:rsidRPr="003F6319">
        <w:rPr>
          <w:bCs/>
          <w:lang w:eastAsia="en-US"/>
        </w:rPr>
        <w:t>вания изобразительного искусства в Средневековой Европе и России. История развития мет</w:t>
      </w:r>
      <w:r w:rsidRPr="003F6319">
        <w:rPr>
          <w:bCs/>
          <w:lang w:eastAsia="en-US"/>
        </w:rPr>
        <w:t>о</w:t>
      </w:r>
      <w:r w:rsidRPr="003F6319">
        <w:rPr>
          <w:bCs/>
          <w:lang w:eastAsia="en-US"/>
        </w:rPr>
        <w:t>дики преподавания изобраз</w:t>
      </w:r>
      <w:r w:rsidRPr="003F6319">
        <w:rPr>
          <w:bCs/>
          <w:lang w:eastAsia="en-US"/>
        </w:rPr>
        <w:t>и</w:t>
      </w:r>
      <w:r w:rsidRPr="003F6319">
        <w:rPr>
          <w:bCs/>
          <w:lang w:eastAsia="en-US"/>
        </w:rPr>
        <w:t xml:space="preserve">тельного искусства в эпоху Возрождения. </w:t>
      </w:r>
      <w:proofErr w:type="spellStart"/>
      <w:r w:rsidRPr="003F6319">
        <w:rPr>
          <w:bCs/>
          <w:lang w:eastAsia="en-US"/>
        </w:rPr>
        <w:t>Ченнино</w:t>
      </w:r>
      <w:proofErr w:type="spellEnd"/>
      <w:r w:rsidRPr="003F6319">
        <w:rPr>
          <w:bCs/>
          <w:lang w:eastAsia="en-US"/>
        </w:rPr>
        <w:t xml:space="preserve"> </w:t>
      </w:r>
      <w:proofErr w:type="spellStart"/>
      <w:r w:rsidRPr="003F6319">
        <w:rPr>
          <w:bCs/>
          <w:lang w:eastAsia="en-US"/>
        </w:rPr>
        <w:t>Ченнини</w:t>
      </w:r>
      <w:proofErr w:type="spellEnd"/>
      <w:r w:rsidRPr="003F6319">
        <w:rPr>
          <w:bCs/>
          <w:lang w:eastAsia="en-US"/>
        </w:rPr>
        <w:t xml:space="preserve">, Альберти, Дюрер, </w:t>
      </w:r>
      <w:proofErr w:type="spellStart"/>
      <w:r w:rsidRPr="003F6319">
        <w:rPr>
          <w:bCs/>
          <w:lang w:eastAsia="en-US"/>
        </w:rPr>
        <w:t>Микеланжело</w:t>
      </w:r>
      <w:proofErr w:type="spellEnd"/>
      <w:r w:rsidRPr="003F6319">
        <w:rPr>
          <w:bCs/>
          <w:lang w:eastAsia="en-US"/>
        </w:rPr>
        <w:t>, Леонардо да Винчи. Становление академической си</w:t>
      </w:r>
      <w:r w:rsidRPr="003F6319">
        <w:rPr>
          <w:bCs/>
          <w:lang w:eastAsia="en-US"/>
        </w:rPr>
        <w:t>с</w:t>
      </w:r>
      <w:r w:rsidRPr="003F6319">
        <w:rPr>
          <w:bCs/>
          <w:lang w:eastAsia="en-US"/>
        </w:rPr>
        <w:t>темы художественного образования в Европе в эпоху Просвещения. (Болонская академия худ</w:t>
      </w:r>
      <w:r w:rsidRPr="003F6319">
        <w:rPr>
          <w:bCs/>
          <w:lang w:eastAsia="en-US"/>
        </w:rPr>
        <w:t>о</w:t>
      </w:r>
      <w:r w:rsidRPr="003F6319">
        <w:rPr>
          <w:bCs/>
          <w:lang w:eastAsia="en-US"/>
        </w:rPr>
        <w:t xml:space="preserve">жеств, Братья </w:t>
      </w:r>
      <w:proofErr w:type="spellStart"/>
      <w:r w:rsidRPr="003F6319">
        <w:rPr>
          <w:bCs/>
          <w:lang w:eastAsia="en-US"/>
        </w:rPr>
        <w:t>Каррачи</w:t>
      </w:r>
      <w:proofErr w:type="spellEnd"/>
      <w:r w:rsidRPr="003F6319">
        <w:rPr>
          <w:bCs/>
          <w:lang w:eastAsia="en-US"/>
        </w:rPr>
        <w:t>. Частная школа - Мастерская Питера Р</w:t>
      </w:r>
      <w:r w:rsidRPr="003F6319">
        <w:rPr>
          <w:bCs/>
          <w:lang w:eastAsia="en-US"/>
        </w:rPr>
        <w:t>у</w:t>
      </w:r>
      <w:r w:rsidRPr="003F6319">
        <w:rPr>
          <w:bCs/>
          <w:lang w:eastAsia="en-US"/>
        </w:rPr>
        <w:t xml:space="preserve">бенса. Обучение искусству в общеобразовательных школах. Ян </w:t>
      </w:r>
      <w:proofErr w:type="spellStart"/>
      <w:r w:rsidRPr="003F6319">
        <w:rPr>
          <w:bCs/>
          <w:lang w:eastAsia="en-US"/>
        </w:rPr>
        <w:t>Амос</w:t>
      </w:r>
      <w:proofErr w:type="spellEnd"/>
      <w:r w:rsidRPr="003F6319">
        <w:rPr>
          <w:bCs/>
          <w:lang w:eastAsia="en-US"/>
        </w:rPr>
        <w:t xml:space="preserve"> Коменский, Джон Локк, Руссо. Методика преподав</w:t>
      </w:r>
      <w:r w:rsidRPr="003F6319">
        <w:rPr>
          <w:bCs/>
          <w:lang w:eastAsia="en-US"/>
        </w:rPr>
        <w:t>а</w:t>
      </w:r>
      <w:r w:rsidRPr="003F6319">
        <w:rPr>
          <w:bCs/>
          <w:lang w:eastAsia="en-US"/>
        </w:rPr>
        <w:t xml:space="preserve">ния изобразительного искусства в 18-19 веках. Песталоцци, </w:t>
      </w:r>
      <w:proofErr w:type="gramStart"/>
      <w:r w:rsidRPr="003F6319">
        <w:rPr>
          <w:bCs/>
          <w:lang w:eastAsia="en-US"/>
        </w:rPr>
        <w:t>Иосиф  Шмидт</w:t>
      </w:r>
      <w:proofErr w:type="gramEnd"/>
      <w:r w:rsidRPr="003F6319">
        <w:rPr>
          <w:bCs/>
          <w:lang w:eastAsia="en-US"/>
        </w:rPr>
        <w:t xml:space="preserve">, Петер Шмид, братья </w:t>
      </w:r>
      <w:proofErr w:type="spellStart"/>
      <w:r w:rsidRPr="003F6319">
        <w:rPr>
          <w:bCs/>
          <w:lang w:eastAsia="en-US"/>
        </w:rPr>
        <w:t>Дюпюи</w:t>
      </w:r>
      <w:proofErr w:type="spellEnd"/>
      <w:r w:rsidRPr="003F6319">
        <w:rPr>
          <w:bCs/>
          <w:lang w:eastAsia="en-US"/>
        </w:rPr>
        <w:t>. Рисование в России с 18-19 веках. (</w:t>
      </w:r>
      <w:proofErr w:type="spellStart"/>
      <w:r w:rsidRPr="003F6319">
        <w:rPr>
          <w:bCs/>
          <w:lang w:eastAsia="en-US"/>
        </w:rPr>
        <w:t>Прейслер</w:t>
      </w:r>
      <w:proofErr w:type="spellEnd"/>
      <w:r w:rsidRPr="003F6319">
        <w:rPr>
          <w:bCs/>
          <w:lang w:eastAsia="en-US"/>
        </w:rPr>
        <w:t>, Гиппиус, Сапожников). Акад</w:t>
      </w:r>
      <w:r w:rsidRPr="003F6319">
        <w:rPr>
          <w:bCs/>
          <w:lang w:eastAsia="en-US"/>
        </w:rPr>
        <w:t>е</w:t>
      </w:r>
      <w:r w:rsidRPr="003F6319">
        <w:rPr>
          <w:bCs/>
          <w:lang w:eastAsia="en-US"/>
        </w:rPr>
        <w:t xml:space="preserve">мия художеств в Санкт-Петербурге. Педагогические взгляды Чистякова П.П. </w:t>
      </w:r>
      <w:proofErr w:type="spellStart"/>
      <w:r w:rsidRPr="003F6319">
        <w:rPr>
          <w:bCs/>
          <w:lang w:eastAsia="en-US"/>
        </w:rPr>
        <w:t>Баухауз</w:t>
      </w:r>
      <w:proofErr w:type="spellEnd"/>
      <w:r w:rsidRPr="003F6319">
        <w:rPr>
          <w:bCs/>
          <w:lang w:eastAsia="en-US"/>
        </w:rPr>
        <w:t xml:space="preserve"> – шк</w:t>
      </w:r>
      <w:r w:rsidRPr="003F6319">
        <w:rPr>
          <w:bCs/>
          <w:lang w:eastAsia="en-US"/>
        </w:rPr>
        <w:t>о</w:t>
      </w:r>
      <w:r w:rsidRPr="003F6319">
        <w:rPr>
          <w:bCs/>
          <w:lang w:eastAsia="en-US"/>
        </w:rPr>
        <w:t>ла дизайна. (</w:t>
      </w:r>
      <w:proofErr w:type="spellStart"/>
      <w:r w:rsidRPr="003F6319">
        <w:rPr>
          <w:bCs/>
          <w:lang w:eastAsia="en-US"/>
        </w:rPr>
        <w:t>Иттен</w:t>
      </w:r>
      <w:proofErr w:type="spellEnd"/>
      <w:r w:rsidRPr="003F6319">
        <w:rPr>
          <w:bCs/>
          <w:lang w:eastAsia="en-US"/>
        </w:rPr>
        <w:t>, Клее, Кандинский). Советские методики преподавания изобразительного и</w:t>
      </w:r>
      <w:r w:rsidRPr="003F6319">
        <w:rPr>
          <w:bCs/>
          <w:lang w:eastAsia="en-US"/>
        </w:rPr>
        <w:t>с</w:t>
      </w:r>
      <w:r w:rsidRPr="003F6319">
        <w:rPr>
          <w:bCs/>
          <w:lang w:eastAsia="en-US"/>
        </w:rPr>
        <w:t>кусства. Система художественного образования на современном этапе в России</w:t>
      </w:r>
      <w:r>
        <w:rPr>
          <w:bCs/>
          <w:lang w:eastAsia="en-US"/>
        </w:rPr>
        <w:t>.</w:t>
      </w:r>
    </w:p>
    <w:p w:rsidR="006D04A6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</w:p>
    <w:p w:rsidR="006D04A6" w:rsidRPr="00CE5D60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  <w:r>
        <w:rPr>
          <w:rFonts w:ascii="ArialMT" w:hAnsi="ArialMT" w:cs="ArialMT"/>
          <w:i/>
        </w:rPr>
        <w:t xml:space="preserve">Тема </w:t>
      </w:r>
      <w:r w:rsidRPr="00CE5D60">
        <w:rPr>
          <w:rFonts w:ascii="ArialMT" w:hAnsi="ArialMT" w:cs="ArialMT"/>
          <w:i/>
        </w:rPr>
        <w:t>1.2 Цели и задачи изобразительного и</w:t>
      </w:r>
      <w:r w:rsidRPr="00CE5D60">
        <w:rPr>
          <w:rFonts w:ascii="ArialMT" w:hAnsi="ArialMT" w:cs="ArialMT"/>
          <w:i/>
        </w:rPr>
        <w:t>с</w:t>
      </w:r>
      <w:r w:rsidRPr="00CE5D60">
        <w:rPr>
          <w:rFonts w:ascii="ArialMT" w:hAnsi="ArialMT" w:cs="ArialMT"/>
          <w:i/>
        </w:rPr>
        <w:t>кусства</w:t>
      </w:r>
    </w:p>
    <w:p w:rsidR="006D04A6" w:rsidRPr="00CE5D60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</w:rPr>
      </w:pPr>
      <w:r w:rsidRPr="00CE5D60">
        <w:t>Изобразительное искусство и его место в системе эстетического воспитания и разв</w:t>
      </w:r>
      <w:r w:rsidRPr="00CE5D60">
        <w:t>и</w:t>
      </w:r>
      <w:r w:rsidRPr="00CE5D60">
        <w:t xml:space="preserve">тия </w:t>
      </w:r>
      <w:r w:rsidRPr="00CE5D60">
        <w:rPr>
          <w:bCs/>
          <w:iCs/>
        </w:rPr>
        <w:t>творческого потенциала</w:t>
      </w:r>
      <w:r w:rsidRPr="00CE5D60">
        <w:rPr>
          <w:bCs/>
          <w:i/>
          <w:iCs/>
        </w:rPr>
        <w:t xml:space="preserve"> </w:t>
      </w:r>
      <w:r w:rsidRPr="00CE5D60">
        <w:t xml:space="preserve">личности. </w:t>
      </w:r>
      <w:r w:rsidRPr="00CE5D60">
        <w:rPr>
          <w:bCs/>
          <w:lang w:eastAsia="en-US"/>
        </w:rPr>
        <w:t>Духовное развитие личности средствами изобразительн</w:t>
      </w:r>
      <w:r w:rsidRPr="00CE5D60">
        <w:rPr>
          <w:bCs/>
          <w:lang w:eastAsia="en-US"/>
        </w:rPr>
        <w:t>о</w:t>
      </w:r>
      <w:r w:rsidRPr="00CE5D60">
        <w:rPr>
          <w:bCs/>
          <w:lang w:eastAsia="en-US"/>
        </w:rPr>
        <w:t xml:space="preserve">го искусства. </w:t>
      </w:r>
      <w:r w:rsidRPr="00CE5D60">
        <w:rPr>
          <w:rFonts w:ascii="ArialMT" w:hAnsi="ArialMT" w:cs="ArialMT"/>
        </w:rPr>
        <w:t>Формирование художественно-образного мышления как основы</w:t>
      </w:r>
    </w:p>
    <w:p w:rsidR="006D04A6" w:rsidRPr="00CE5D60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</w:rPr>
      </w:pPr>
      <w:r w:rsidRPr="00CE5D60">
        <w:rPr>
          <w:rFonts w:ascii="ArialMT" w:hAnsi="ArialMT" w:cs="ArialMT"/>
        </w:rPr>
        <w:t>развития творческой личности, ее эстетических вкусов и потребностей,</w:t>
      </w:r>
    </w:p>
    <w:p w:rsidR="006D04A6" w:rsidRPr="00CE5D60" w:rsidRDefault="006D04A6" w:rsidP="006D04A6">
      <w:pPr>
        <w:autoSpaceDE w:val="0"/>
        <w:autoSpaceDN w:val="0"/>
        <w:adjustRightInd w:val="0"/>
        <w:ind w:firstLine="709"/>
        <w:jc w:val="both"/>
      </w:pPr>
      <w:r w:rsidRPr="00CE5D60">
        <w:rPr>
          <w:rFonts w:ascii="ArialMT" w:hAnsi="ArialMT" w:cs="ArialMT"/>
        </w:rPr>
        <w:t>морально-этического облика. Развитие творческих способностей; расширение диап</w:t>
      </w:r>
      <w:r w:rsidRPr="00CE5D60">
        <w:rPr>
          <w:rFonts w:ascii="ArialMT" w:hAnsi="ArialMT" w:cs="ArialMT"/>
        </w:rPr>
        <w:t>а</w:t>
      </w:r>
      <w:r w:rsidRPr="00CE5D60">
        <w:rPr>
          <w:rFonts w:ascii="ArialMT" w:hAnsi="ArialMT" w:cs="ArialMT"/>
        </w:rPr>
        <w:t>зона чувств, воображения, фантазии, воспитание эмоциональной отзывчивости на явления худ</w:t>
      </w:r>
      <w:r w:rsidRPr="00CE5D60">
        <w:rPr>
          <w:rFonts w:ascii="ArialMT" w:hAnsi="ArialMT" w:cs="ArialMT"/>
        </w:rPr>
        <w:t>о</w:t>
      </w:r>
      <w:r w:rsidRPr="00CE5D60">
        <w:rPr>
          <w:rFonts w:ascii="ArialMT" w:hAnsi="ArialMT" w:cs="ArialMT"/>
        </w:rPr>
        <w:t xml:space="preserve">жественной культуры. </w:t>
      </w:r>
    </w:p>
    <w:p w:rsidR="006D04A6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</w:p>
    <w:p w:rsidR="006D04A6" w:rsidRPr="00B2363D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  <w:r w:rsidRPr="00B2363D">
        <w:rPr>
          <w:rFonts w:ascii="ArialMT" w:hAnsi="ArialMT" w:cs="ArialMT"/>
          <w:i/>
        </w:rPr>
        <w:t xml:space="preserve">Тема 1.3 Дидактические принципы обучения </w:t>
      </w:r>
    </w:p>
    <w:p w:rsidR="006D04A6" w:rsidRPr="00B2363D" w:rsidRDefault="006D04A6" w:rsidP="006D04A6">
      <w:pPr>
        <w:autoSpaceDE w:val="0"/>
        <w:autoSpaceDN w:val="0"/>
        <w:adjustRightInd w:val="0"/>
        <w:ind w:firstLine="709"/>
        <w:jc w:val="both"/>
      </w:pPr>
      <w:r w:rsidRPr="00B2363D">
        <w:rPr>
          <w:bCs/>
        </w:rPr>
        <w:t>Принцип научности. Принцип наглядности. Принцип доступности и нарастающей трудности. Принцип систематичности и последовательности. Принцип сознательности, а</w:t>
      </w:r>
      <w:r w:rsidRPr="00B2363D">
        <w:rPr>
          <w:bCs/>
        </w:rPr>
        <w:t>к</w:t>
      </w:r>
      <w:r w:rsidRPr="00B2363D">
        <w:rPr>
          <w:bCs/>
        </w:rPr>
        <w:t>тивности, самостоятельности, творчества и инициативы воспитанников в сочетании с педаг</w:t>
      </w:r>
      <w:r w:rsidRPr="00B2363D">
        <w:rPr>
          <w:bCs/>
        </w:rPr>
        <w:t>о</w:t>
      </w:r>
      <w:r w:rsidRPr="00B2363D">
        <w:rPr>
          <w:bCs/>
        </w:rPr>
        <w:t>гическим руководством. Принцип прочности, осознанности ж действенности р</w:t>
      </w:r>
      <w:r w:rsidRPr="00B2363D">
        <w:rPr>
          <w:bCs/>
        </w:rPr>
        <w:t>е</w:t>
      </w:r>
      <w:r w:rsidRPr="00B2363D">
        <w:rPr>
          <w:bCs/>
        </w:rPr>
        <w:t>зультатов воспитания, обучения и развития. Принцип связи теории с практикой и с жизнью. Принцип воспитыва</w:t>
      </w:r>
      <w:r w:rsidRPr="00B2363D">
        <w:rPr>
          <w:bCs/>
        </w:rPr>
        <w:t>ю</w:t>
      </w:r>
      <w:r w:rsidRPr="00B2363D">
        <w:rPr>
          <w:bCs/>
        </w:rPr>
        <w:t>щего обучения и формирования эмоционально-ценностного отношения к миру.</w:t>
      </w:r>
    </w:p>
    <w:p w:rsidR="006D04A6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</w:p>
    <w:p w:rsidR="006D04A6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  <w:r w:rsidRPr="00B2363D">
        <w:rPr>
          <w:rFonts w:ascii="ArialMT" w:hAnsi="ArialMT" w:cs="ArialMT"/>
          <w:i/>
        </w:rPr>
        <w:t>Тема 1.4 Условия вариативного обучения. Програ</w:t>
      </w:r>
      <w:r w:rsidRPr="00B2363D">
        <w:rPr>
          <w:rFonts w:ascii="ArialMT" w:hAnsi="ArialMT" w:cs="ArialMT"/>
          <w:i/>
        </w:rPr>
        <w:t>м</w:t>
      </w:r>
      <w:r w:rsidRPr="00B2363D">
        <w:rPr>
          <w:rFonts w:ascii="ArialMT" w:hAnsi="ArialMT" w:cs="ArialMT"/>
          <w:i/>
        </w:rPr>
        <w:t>мы</w:t>
      </w:r>
    </w:p>
    <w:p w:rsidR="006D04A6" w:rsidRPr="00B2363D" w:rsidRDefault="006D04A6" w:rsidP="006D04A6">
      <w:pPr>
        <w:autoSpaceDE w:val="0"/>
        <w:autoSpaceDN w:val="0"/>
        <w:adjustRightInd w:val="0"/>
        <w:ind w:firstLine="709"/>
        <w:jc w:val="both"/>
        <w:rPr>
          <w:i/>
        </w:rPr>
      </w:pPr>
      <w:r w:rsidRPr="00B2363D">
        <w:t xml:space="preserve">Учебная программа - </w:t>
      </w:r>
      <w:r w:rsidRPr="00B2363D">
        <w:rPr>
          <w:bCs/>
        </w:rPr>
        <w:t>нормативный документ. Программа “Изобразительное искусство и художественный труд”</w:t>
      </w:r>
      <w:r>
        <w:rPr>
          <w:bCs/>
        </w:rPr>
        <w:t>,</w:t>
      </w:r>
      <w:r w:rsidRPr="00B2363D">
        <w:rPr>
          <w:bCs/>
        </w:rPr>
        <w:t xml:space="preserve"> разработан</w:t>
      </w:r>
      <w:r>
        <w:rPr>
          <w:bCs/>
        </w:rPr>
        <w:t>ная</w:t>
      </w:r>
      <w:r w:rsidRPr="00B2363D">
        <w:rPr>
          <w:bCs/>
        </w:rPr>
        <w:t xml:space="preserve"> в 1970-1975 годах группой ученых (научный руков</w:t>
      </w:r>
      <w:r w:rsidRPr="00B2363D">
        <w:rPr>
          <w:bCs/>
        </w:rPr>
        <w:t>о</w:t>
      </w:r>
      <w:r w:rsidRPr="00B2363D">
        <w:rPr>
          <w:bCs/>
        </w:rPr>
        <w:t xml:space="preserve">дитель – Б.М. </w:t>
      </w:r>
      <w:proofErr w:type="spellStart"/>
      <w:r w:rsidRPr="00B2363D">
        <w:rPr>
          <w:bCs/>
        </w:rPr>
        <w:t>Неменский</w:t>
      </w:r>
      <w:proofErr w:type="spellEnd"/>
      <w:r w:rsidRPr="00B2363D">
        <w:rPr>
          <w:bCs/>
        </w:rPr>
        <w:t>). Концепция "Школа р</w:t>
      </w:r>
      <w:r>
        <w:rPr>
          <w:bCs/>
        </w:rPr>
        <w:t>исунка - графическая грамота" (а</w:t>
      </w:r>
      <w:r w:rsidRPr="00B2363D">
        <w:rPr>
          <w:bCs/>
        </w:rPr>
        <w:t>вторы ко</w:t>
      </w:r>
      <w:r w:rsidRPr="00B2363D">
        <w:rPr>
          <w:bCs/>
        </w:rPr>
        <w:t>н</w:t>
      </w:r>
      <w:r w:rsidRPr="00B2363D">
        <w:rPr>
          <w:bCs/>
        </w:rPr>
        <w:t>цепции Н.Н. Ростовцев и В.С. Кузин)</w:t>
      </w:r>
      <w:r>
        <w:rPr>
          <w:bCs/>
        </w:rPr>
        <w:t>.</w:t>
      </w:r>
      <w:r w:rsidRPr="00B2363D">
        <w:rPr>
          <w:bCs/>
        </w:rPr>
        <w:t xml:space="preserve"> Программа “Изобразительное искусство. Основы н</w:t>
      </w:r>
      <w:r w:rsidRPr="00B2363D">
        <w:rPr>
          <w:bCs/>
        </w:rPr>
        <w:t>а</w:t>
      </w:r>
      <w:r w:rsidRPr="00B2363D">
        <w:rPr>
          <w:bCs/>
        </w:rPr>
        <w:t>родного и</w:t>
      </w:r>
      <w:r>
        <w:rPr>
          <w:bCs/>
        </w:rPr>
        <w:t xml:space="preserve"> </w:t>
      </w:r>
      <w:r w:rsidRPr="00B2363D">
        <w:rPr>
          <w:bCs/>
        </w:rPr>
        <w:t xml:space="preserve">декоративно-прикладного искусства”, </w:t>
      </w:r>
      <w:r w:rsidRPr="00B2363D">
        <w:t>разработанная группой ученых</w:t>
      </w:r>
      <w:r>
        <w:t xml:space="preserve"> </w:t>
      </w:r>
      <w:r w:rsidRPr="00B2363D">
        <w:t>под нау</w:t>
      </w:r>
      <w:r w:rsidRPr="00B2363D">
        <w:t>ч</w:t>
      </w:r>
      <w:r w:rsidRPr="00B2363D">
        <w:t xml:space="preserve">ным руководством Т.Я. </w:t>
      </w:r>
      <w:proofErr w:type="spellStart"/>
      <w:r w:rsidRPr="00B2363D">
        <w:rPr>
          <w:bCs/>
        </w:rPr>
        <w:t>Шпикаловой</w:t>
      </w:r>
      <w:proofErr w:type="spellEnd"/>
      <w:r w:rsidRPr="00B2363D">
        <w:rPr>
          <w:bCs/>
        </w:rPr>
        <w:t>.</w:t>
      </w:r>
    </w:p>
    <w:p w:rsidR="006D04A6" w:rsidRPr="00B2363D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</w:p>
    <w:p w:rsidR="006D04A6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  <w:r w:rsidRPr="004B7BF9">
        <w:rPr>
          <w:rFonts w:ascii="ArialMT" w:hAnsi="ArialMT" w:cs="ArialMT"/>
          <w:i/>
        </w:rPr>
        <w:t>Тема 2.1 Основы обучения рисунку</w:t>
      </w:r>
    </w:p>
    <w:p w:rsidR="006D04A6" w:rsidRPr="00AD4207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</w:rPr>
      </w:pPr>
      <w:r w:rsidRPr="00AD4207">
        <w:rPr>
          <w:rFonts w:ascii="ArialMT" w:hAnsi="ArialMT" w:cs="ArialMT"/>
        </w:rPr>
        <w:t>Рисунок – структурная основа любого изображения: графического, живописного, скульпту</w:t>
      </w:r>
      <w:r w:rsidRPr="00AD4207">
        <w:rPr>
          <w:rFonts w:ascii="ArialMT" w:hAnsi="ArialMT" w:cs="ArialMT"/>
        </w:rPr>
        <w:t>р</w:t>
      </w:r>
      <w:r w:rsidRPr="00AD4207">
        <w:rPr>
          <w:rFonts w:ascii="ArialMT" w:hAnsi="ArialMT" w:cs="ArialMT"/>
        </w:rPr>
        <w:t xml:space="preserve">ного, декоративного. Рисунок – средство познания и изучения действительности. </w:t>
      </w:r>
      <w:r>
        <w:rPr>
          <w:rFonts w:ascii="ArialMT" w:hAnsi="ArialMT" w:cs="ArialMT"/>
        </w:rPr>
        <w:t xml:space="preserve">Линия и тон - главное выразительные средства рисунка. </w:t>
      </w:r>
      <w:r w:rsidRPr="00AD4207">
        <w:rPr>
          <w:rFonts w:ascii="ArialMT" w:hAnsi="ArialMT" w:cs="ArialMT"/>
        </w:rPr>
        <w:t>Виды рисунка. Техник</w:t>
      </w:r>
      <w:r>
        <w:rPr>
          <w:rFonts w:ascii="ArialMT" w:hAnsi="ArialMT" w:cs="ArialMT"/>
        </w:rPr>
        <w:t>и</w:t>
      </w:r>
      <w:r w:rsidRPr="00AD4207">
        <w:rPr>
          <w:rFonts w:ascii="ArialMT" w:hAnsi="ArialMT" w:cs="ArialMT"/>
        </w:rPr>
        <w:t xml:space="preserve"> рисунка. Особенности рисования </w:t>
      </w:r>
      <w:r>
        <w:rPr>
          <w:rFonts w:ascii="ArialMT" w:hAnsi="ArialMT" w:cs="ArialMT"/>
        </w:rPr>
        <w:t xml:space="preserve">различных учебных постановок и </w:t>
      </w:r>
      <w:r w:rsidRPr="00AD4207">
        <w:rPr>
          <w:rFonts w:ascii="ArialMT" w:hAnsi="ArialMT" w:cs="ArialMT"/>
        </w:rPr>
        <w:t>тематич</w:t>
      </w:r>
      <w:r w:rsidRPr="00AD4207">
        <w:rPr>
          <w:rFonts w:ascii="ArialMT" w:hAnsi="ArialMT" w:cs="ArialMT"/>
        </w:rPr>
        <w:t>е</w:t>
      </w:r>
      <w:r w:rsidRPr="00AD4207">
        <w:rPr>
          <w:rFonts w:ascii="ArialMT" w:hAnsi="ArialMT" w:cs="ArialMT"/>
        </w:rPr>
        <w:t>ских композиций.</w:t>
      </w:r>
    </w:p>
    <w:p w:rsidR="006D04A6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</w:p>
    <w:p w:rsidR="006D04A6" w:rsidRPr="004B7BF9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  <w:r w:rsidRPr="004B7BF9">
        <w:rPr>
          <w:rFonts w:ascii="ArialMT" w:hAnsi="ArialMT" w:cs="ArialMT"/>
          <w:i/>
        </w:rPr>
        <w:t>Тема 2.2 Основы обучения живоп</w:t>
      </w:r>
      <w:r w:rsidRPr="004B7BF9">
        <w:rPr>
          <w:rFonts w:ascii="ArialMT" w:hAnsi="ArialMT" w:cs="ArialMT"/>
          <w:i/>
        </w:rPr>
        <w:t>и</w:t>
      </w:r>
      <w:r w:rsidRPr="004B7BF9">
        <w:rPr>
          <w:rFonts w:ascii="ArialMT" w:hAnsi="ArialMT" w:cs="ArialMT"/>
          <w:i/>
        </w:rPr>
        <w:t>си</w:t>
      </w:r>
    </w:p>
    <w:p w:rsidR="006D04A6" w:rsidRPr="00AD4207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Цвет – главное выразительное средство живописи. Колорит как средство гармониз</w:t>
      </w:r>
      <w:r>
        <w:rPr>
          <w:rFonts w:ascii="ArialMT" w:hAnsi="ArialMT" w:cs="ArialMT"/>
        </w:rPr>
        <w:t>а</w:t>
      </w:r>
      <w:r>
        <w:rPr>
          <w:rFonts w:ascii="ArialMT" w:hAnsi="ArialMT" w:cs="ArialMT"/>
        </w:rPr>
        <w:t xml:space="preserve">ции живописного произведения. Виды живописи. Техники живописи. </w:t>
      </w:r>
      <w:r w:rsidRPr="00AD4207">
        <w:rPr>
          <w:rFonts w:ascii="ArialMT" w:hAnsi="ArialMT" w:cs="ArialMT"/>
        </w:rPr>
        <w:t xml:space="preserve">Особенности </w:t>
      </w:r>
      <w:r>
        <w:rPr>
          <w:rFonts w:ascii="ArialMT" w:hAnsi="ArialMT" w:cs="ArialMT"/>
        </w:rPr>
        <w:t>жив</w:t>
      </w:r>
      <w:r>
        <w:rPr>
          <w:rFonts w:ascii="ArialMT" w:hAnsi="ArialMT" w:cs="ArialMT"/>
        </w:rPr>
        <w:t>о</w:t>
      </w:r>
      <w:r>
        <w:rPr>
          <w:rFonts w:ascii="ArialMT" w:hAnsi="ArialMT" w:cs="ArialMT"/>
        </w:rPr>
        <w:t xml:space="preserve">писной работы над учебными постановками и </w:t>
      </w:r>
      <w:r w:rsidRPr="00AD4207">
        <w:rPr>
          <w:rFonts w:ascii="ArialMT" w:hAnsi="ArialMT" w:cs="ArialMT"/>
        </w:rPr>
        <w:t>темат</w:t>
      </w:r>
      <w:r w:rsidRPr="00AD4207">
        <w:rPr>
          <w:rFonts w:ascii="ArialMT" w:hAnsi="ArialMT" w:cs="ArialMT"/>
        </w:rPr>
        <w:t>и</w:t>
      </w:r>
      <w:r w:rsidRPr="00AD4207">
        <w:rPr>
          <w:rFonts w:ascii="ArialMT" w:hAnsi="ArialMT" w:cs="ArialMT"/>
        </w:rPr>
        <w:t>чески</w:t>
      </w:r>
      <w:r>
        <w:rPr>
          <w:rFonts w:ascii="ArialMT" w:hAnsi="ArialMT" w:cs="ArialMT"/>
        </w:rPr>
        <w:t>ми</w:t>
      </w:r>
      <w:r w:rsidRPr="00AD4207">
        <w:rPr>
          <w:rFonts w:ascii="ArialMT" w:hAnsi="ArialMT" w:cs="ArialMT"/>
        </w:rPr>
        <w:t xml:space="preserve"> композици</w:t>
      </w:r>
      <w:r>
        <w:rPr>
          <w:rFonts w:ascii="ArialMT" w:hAnsi="ArialMT" w:cs="ArialMT"/>
        </w:rPr>
        <w:t>ями</w:t>
      </w:r>
      <w:r w:rsidRPr="00AD4207">
        <w:rPr>
          <w:rFonts w:ascii="ArialMT" w:hAnsi="ArialMT" w:cs="ArialMT"/>
        </w:rPr>
        <w:t>.</w:t>
      </w:r>
    </w:p>
    <w:p w:rsidR="006D04A6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</w:p>
    <w:p w:rsidR="006D04A6" w:rsidRPr="004B7BF9" w:rsidRDefault="006D04A6" w:rsidP="006D04A6">
      <w:pPr>
        <w:autoSpaceDE w:val="0"/>
        <w:autoSpaceDN w:val="0"/>
        <w:adjustRightInd w:val="0"/>
        <w:ind w:firstLine="709"/>
        <w:jc w:val="both"/>
        <w:rPr>
          <w:rFonts w:ascii="ArialMT" w:hAnsi="ArialMT" w:cs="ArialMT"/>
          <w:i/>
        </w:rPr>
      </w:pPr>
      <w:r w:rsidRPr="004B7BF9">
        <w:rPr>
          <w:rFonts w:ascii="ArialMT" w:hAnsi="ArialMT" w:cs="ArialMT"/>
          <w:i/>
        </w:rPr>
        <w:t>Тема 2.</w:t>
      </w:r>
      <w:proofErr w:type="gramStart"/>
      <w:r w:rsidRPr="004B7BF9">
        <w:rPr>
          <w:rFonts w:ascii="ArialMT" w:hAnsi="ArialMT" w:cs="ArialMT"/>
          <w:i/>
        </w:rPr>
        <w:t>3.Основы</w:t>
      </w:r>
      <w:proofErr w:type="gramEnd"/>
      <w:r w:rsidRPr="004B7BF9">
        <w:rPr>
          <w:rFonts w:ascii="ArialMT" w:hAnsi="ArialMT" w:cs="ArialMT"/>
          <w:i/>
        </w:rPr>
        <w:t xml:space="preserve"> обучения декоративно-прикладному искусству</w:t>
      </w:r>
    </w:p>
    <w:p w:rsidR="006D04A6" w:rsidRPr="00F364C9" w:rsidRDefault="006D04A6" w:rsidP="006D04A6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F364C9">
        <w:rPr>
          <w:bCs/>
        </w:rPr>
        <w:t xml:space="preserve">Стилизация формы как основной метод декоративно-прикладного искусства. </w:t>
      </w:r>
      <w:r>
        <w:rPr>
          <w:bCs/>
        </w:rPr>
        <w:t>Особе</w:t>
      </w:r>
      <w:r>
        <w:rPr>
          <w:bCs/>
        </w:rPr>
        <w:t>н</w:t>
      </w:r>
      <w:r>
        <w:rPr>
          <w:bCs/>
        </w:rPr>
        <w:t>ности стилизации природной формы: орнамент, знак, символ. Приёмы стилизации и обра</w:t>
      </w:r>
      <w:r>
        <w:rPr>
          <w:bCs/>
        </w:rPr>
        <w:t>з</w:t>
      </w:r>
      <w:r>
        <w:rPr>
          <w:bCs/>
        </w:rPr>
        <w:t>ное р</w:t>
      </w:r>
      <w:r>
        <w:rPr>
          <w:bCs/>
        </w:rPr>
        <w:t>е</w:t>
      </w:r>
      <w:r>
        <w:rPr>
          <w:bCs/>
        </w:rPr>
        <w:t>шение декоративных композиций.</w:t>
      </w:r>
    </w:p>
    <w:p w:rsidR="006D04A6" w:rsidRDefault="006D04A6" w:rsidP="002A7DB6">
      <w:pPr>
        <w:pStyle w:val="aff6"/>
      </w:pPr>
      <w:bookmarkStart w:id="1" w:name="_GoBack"/>
      <w:bookmarkEnd w:id="1"/>
    </w:p>
    <w:sectPr w:rsidR="006D04A6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41" w:rsidRDefault="00BE6341">
      <w:r>
        <w:separator/>
      </w:r>
    </w:p>
  </w:endnote>
  <w:endnote w:type="continuationSeparator" w:id="0">
    <w:p w:rsidR="00BE6341" w:rsidRDefault="00BE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A6">
          <w:rPr>
            <w:noProof/>
          </w:rPr>
          <w:t>4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41" w:rsidRDefault="00BE6341">
      <w:r>
        <w:separator/>
      </w:r>
    </w:p>
  </w:footnote>
  <w:footnote w:type="continuationSeparator" w:id="0">
    <w:p w:rsidR="00BE6341" w:rsidRDefault="00BE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04A6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48A7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6341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B2F1D0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uiPriority w:val="99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uiPriority w:val="99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85D3-7270-4E59-A404-85143315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8465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6</cp:revision>
  <cp:lastPrinted>2023-06-08T10:10:00Z</cp:lastPrinted>
  <dcterms:created xsi:type="dcterms:W3CDTF">2023-06-08T10:10:00Z</dcterms:created>
  <dcterms:modified xsi:type="dcterms:W3CDTF">2023-09-24T08:26:00Z</dcterms:modified>
</cp:coreProperties>
</file>