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55" w:rsidRPr="00226D55" w:rsidRDefault="00226D55" w:rsidP="00226D55">
      <w:pPr>
        <w:autoSpaceDE w:val="0"/>
        <w:autoSpaceDN w:val="0"/>
        <w:adjustRightInd w:val="0"/>
        <w:snapToGrid/>
        <w:jc w:val="right"/>
        <w:rPr>
          <w:sz w:val="26"/>
          <w:szCs w:val="26"/>
        </w:rPr>
      </w:pPr>
      <w:r w:rsidRPr="00226D55">
        <w:rPr>
          <w:sz w:val="26"/>
          <w:szCs w:val="26"/>
        </w:rPr>
        <w:t>ПРИЛОЖЕНИЕ</w:t>
      </w:r>
    </w:p>
    <w:p w:rsidR="00226D55" w:rsidRPr="00226D55" w:rsidRDefault="00226D55" w:rsidP="00226D55">
      <w:pPr>
        <w:snapToGrid/>
        <w:jc w:val="center"/>
        <w:rPr>
          <w:sz w:val="26"/>
          <w:szCs w:val="26"/>
        </w:rPr>
      </w:pPr>
    </w:p>
    <w:p w:rsidR="00226D55" w:rsidRPr="00226D55" w:rsidRDefault="00226D55" w:rsidP="00226D55">
      <w:pPr>
        <w:autoSpaceDE w:val="0"/>
        <w:autoSpaceDN w:val="0"/>
        <w:adjustRightInd w:val="0"/>
        <w:snapToGrid/>
        <w:jc w:val="center"/>
        <w:rPr>
          <w:sz w:val="26"/>
          <w:szCs w:val="26"/>
        </w:rPr>
      </w:pPr>
      <w:r w:rsidRPr="00226D55">
        <w:rPr>
          <w:sz w:val="26"/>
          <w:szCs w:val="26"/>
        </w:rPr>
        <w:t xml:space="preserve">МИНИСТЕРСТВО НАУКИ И ВЫСШЕГО ОБРАЗОВАНИЯ </w:t>
      </w:r>
    </w:p>
    <w:p w:rsidR="00226D55" w:rsidRPr="00226D55" w:rsidRDefault="00226D55" w:rsidP="00226D55">
      <w:pPr>
        <w:autoSpaceDE w:val="0"/>
        <w:autoSpaceDN w:val="0"/>
        <w:adjustRightInd w:val="0"/>
        <w:snapToGrid/>
        <w:jc w:val="center"/>
        <w:rPr>
          <w:sz w:val="26"/>
          <w:szCs w:val="26"/>
        </w:rPr>
      </w:pPr>
      <w:r w:rsidRPr="00226D55">
        <w:rPr>
          <w:sz w:val="26"/>
          <w:szCs w:val="26"/>
        </w:rPr>
        <w:t>РОССИЙСКОЙ ФЕДЕРАЦИИ</w:t>
      </w:r>
    </w:p>
    <w:p w:rsidR="00226D55" w:rsidRPr="00226D55" w:rsidRDefault="00226D55" w:rsidP="00226D55">
      <w:pPr>
        <w:autoSpaceDE w:val="0"/>
        <w:autoSpaceDN w:val="0"/>
        <w:adjustRightInd w:val="0"/>
        <w:snapToGrid/>
        <w:jc w:val="center"/>
        <w:rPr>
          <w:sz w:val="26"/>
          <w:szCs w:val="26"/>
        </w:rPr>
      </w:pPr>
    </w:p>
    <w:p w:rsidR="00226D55" w:rsidRPr="00226D55" w:rsidRDefault="00226D55" w:rsidP="00226D55">
      <w:pPr>
        <w:snapToGrid/>
        <w:jc w:val="center"/>
        <w:rPr>
          <w:sz w:val="26"/>
          <w:szCs w:val="26"/>
          <w:lang w:eastAsia="ar-SA"/>
        </w:rPr>
      </w:pPr>
      <w:r w:rsidRPr="00226D55">
        <w:rPr>
          <w:sz w:val="26"/>
          <w:szCs w:val="26"/>
          <w:lang w:eastAsia="ar-SA"/>
        </w:rPr>
        <w:t>ФЕДЕРАЛЬНОЕ ГОСУДАРСТВЕННОЕ БЮДЖЕТНОЕ ОБРАЗОВАТЕЛЬНОЕ УЧРЕЖДЕНИЕ ВЫСШЕГО ОБРАЗОВАНИЯ</w:t>
      </w:r>
    </w:p>
    <w:p w:rsidR="00226D55" w:rsidRPr="00226D55" w:rsidRDefault="00226D55" w:rsidP="00226D55">
      <w:pPr>
        <w:snapToGrid/>
        <w:jc w:val="center"/>
        <w:rPr>
          <w:sz w:val="26"/>
          <w:szCs w:val="26"/>
          <w:lang w:eastAsia="ar-SA"/>
        </w:rPr>
      </w:pPr>
      <w:r w:rsidRPr="00226D55">
        <w:rPr>
          <w:sz w:val="26"/>
          <w:szCs w:val="26"/>
          <w:lang w:eastAsia="ar-SA"/>
        </w:rPr>
        <w:t>«РЯЗАНСКИЙ ГОСУДАРСТВЕННЫЙ РАДИОТЕХНИЧЕСКИЙ УНИВЕРСИТЕТ ИМЕНИ В.Ф. УТКИНА»</w:t>
      </w:r>
    </w:p>
    <w:p w:rsidR="00226D55" w:rsidRPr="00226D55" w:rsidRDefault="00226D55" w:rsidP="00226D55">
      <w:pPr>
        <w:shd w:val="clear" w:color="auto" w:fill="FFFFFF"/>
        <w:autoSpaceDE w:val="0"/>
        <w:autoSpaceDN w:val="0"/>
        <w:adjustRightInd w:val="0"/>
        <w:snapToGrid/>
        <w:ind w:hanging="178"/>
        <w:jc w:val="center"/>
        <w:rPr>
          <w:sz w:val="26"/>
          <w:szCs w:val="26"/>
        </w:rPr>
      </w:pPr>
    </w:p>
    <w:p w:rsidR="00226D55" w:rsidRPr="00226D55" w:rsidRDefault="00226D55" w:rsidP="00226D55">
      <w:pPr>
        <w:shd w:val="clear" w:color="auto" w:fill="FFFFFF"/>
        <w:autoSpaceDE w:val="0"/>
        <w:autoSpaceDN w:val="0"/>
        <w:adjustRightInd w:val="0"/>
        <w:snapToGrid/>
        <w:ind w:hanging="178"/>
        <w:jc w:val="center"/>
        <w:rPr>
          <w:sz w:val="28"/>
          <w:szCs w:val="28"/>
        </w:rPr>
      </w:pPr>
      <w:r w:rsidRPr="00226D55">
        <w:rPr>
          <w:sz w:val="28"/>
          <w:szCs w:val="28"/>
        </w:rPr>
        <w:t>Кафедра «Экономика, менеджмент и организация производства»</w:t>
      </w: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autoSpaceDE w:val="0"/>
        <w:autoSpaceDN w:val="0"/>
        <w:adjustRightInd w:val="0"/>
        <w:snapToGrid/>
        <w:jc w:val="center"/>
        <w:rPr>
          <w:b/>
          <w:bCs/>
          <w:sz w:val="26"/>
          <w:szCs w:val="26"/>
        </w:rPr>
      </w:pPr>
    </w:p>
    <w:p w:rsidR="00226D55" w:rsidRPr="00226D55" w:rsidRDefault="00226D55" w:rsidP="00226D55">
      <w:pPr>
        <w:shd w:val="clear" w:color="auto" w:fill="FFFFFF"/>
        <w:autoSpaceDE w:val="0"/>
        <w:autoSpaceDN w:val="0"/>
        <w:adjustRightInd w:val="0"/>
        <w:snapToGrid/>
        <w:jc w:val="center"/>
        <w:rPr>
          <w:b/>
          <w:bCs/>
          <w:kern w:val="1"/>
          <w:sz w:val="28"/>
          <w:szCs w:val="28"/>
        </w:rPr>
      </w:pPr>
      <w:r w:rsidRPr="00226D55">
        <w:rPr>
          <w:b/>
          <w:bCs/>
          <w:kern w:val="1"/>
          <w:sz w:val="28"/>
          <w:szCs w:val="28"/>
        </w:rPr>
        <w:t>МЕТОДИЧЕСКОЕ ОБЕСПЕЧЕНИЕ ДИСЦИПЛИНЫ</w:t>
      </w:r>
    </w:p>
    <w:p w:rsidR="00226D55" w:rsidRPr="00226D55" w:rsidRDefault="00226D55" w:rsidP="00226D55">
      <w:pPr>
        <w:shd w:val="clear" w:color="auto" w:fill="FFFFFF"/>
        <w:autoSpaceDE w:val="0"/>
        <w:autoSpaceDN w:val="0"/>
        <w:adjustRightInd w:val="0"/>
        <w:snapToGrid/>
        <w:jc w:val="center"/>
        <w:rPr>
          <w:b/>
          <w:bCs/>
          <w:sz w:val="28"/>
          <w:szCs w:val="28"/>
        </w:rPr>
      </w:pPr>
    </w:p>
    <w:p w:rsidR="00A85149" w:rsidRPr="00A85149" w:rsidRDefault="00DF5A33" w:rsidP="00DF5A33">
      <w:pPr>
        <w:autoSpaceDE w:val="0"/>
        <w:autoSpaceDN w:val="0"/>
        <w:adjustRightInd w:val="0"/>
        <w:snapToGrid/>
        <w:rPr>
          <w:b/>
          <w:bCs/>
          <w:sz w:val="28"/>
          <w:szCs w:val="28"/>
        </w:rPr>
      </w:pPr>
      <w:r>
        <w:rPr>
          <w:b/>
          <w:bCs/>
          <w:sz w:val="28"/>
          <w:szCs w:val="28"/>
        </w:rPr>
        <w:t xml:space="preserve"> </w:t>
      </w:r>
    </w:p>
    <w:p w:rsidR="007648A7" w:rsidRPr="00B73779" w:rsidRDefault="00BA2899" w:rsidP="007648A7">
      <w:pPr>
        <w:suppressAutoHyphens/>
        <w:spacing w:line="360" w:lineRule="auto"/>
        <w:jc w:val="center"/>
        <w:rPr>
          <w:sz w:val="26"/>
          <w:szCs w:val="26"/>
        </w:rPr>
      </w:pPr>
      <w:r>
        <w:rPr>
          <w:b/>
          <w:sz w:val="26"/>
          <w:szCs w:val="26"/>
        </w:rPr>
        <w:t>Б1.О.30</w:t>
      </w:r>
      <w:r w:rsidR="007648A7">
        <w:rPr>
          <w:b/>
          <w:sz w:val="26"/>
          <w:szCs w:val="26"/>
        </w:rPr>
        <w:t xml:space="preserve">  </w:t>
      </w:r>
      <w:r w:rsidR="007648A7" w:rsidRPr="00B73779">
        <w:rPr>
          <w:b/>
          <w:sz w:val="26"/>
          <w:szCs w:val="26"/>
        </w:rPr>
        <w:t xml:space="preserve"> «</w:t>
      </w:r>
      <w:r w:rsidR="007648A7" w:rsidRPr="00B73779">
        <w:rPr>
          <w:b/>
          <w:sz w:val="28"/>
          <w:szCs w:val="28"/>
        </w:rPr>
        <w:t xml:space="preserve">ОРГАНИЗАЦИЯ  </w:t>
      </w:r>
      <w:r w:rsidR="000A59E4">
        <w:rPr>
          <w:b/>
          <w:sz w:val="28"/>
          <w:szCs w:val="28"/>
        </w:rPr>
        <w:t xml:space="preserve">И ПЛАНИРОВАНИЕ ИНВЕСТИЦИОННОЙ </w:t>
      </w:r>
      <w:r w:rsidR="007648A7">
        <w:rPr>
          <w:b/>
          <w:sz w:val="28"/>
          <w:szCs w:val="28"/>
        </w:rPr>
        <w:t>ДЕЯТЕЛЬНОСТИ ПРЕДПРИЯТИЯ</w:t>
      </w:r>
      <w:r w:rsidR="007648A7" w:rsidRPr="00B73779">
        <w:rPr>
          <w:b/>
          <w:sz w:val="26"/>
          <w:szCs w:val="26"/>
        </w:rPr>
        <w:t>»</w:t>
      </w:r>
    </w:p>
    <w:p w:rsidR="00EB0862" w:rsidRPr="00A85149" w:rsidRDefault="00EB0862" w:rsidP="00DF5A33">
      <w:pPr>
        <w:tabs>
          <w:tab w:val="left" w:pos="516"/>
        </w:tabs>
        <w:autoSpaceDE w:val="0"/>
        <w:autoSpaceDN w:val="0"/>
        <w:adjustRightInd w:val="0"/>
        <w:snapToGrid/>
        <w:jc w:val="center"/>
        <w:rPr>
          <w:b/>
          <w:bCs/>
          <w:sz w:val="28"/>
          <w:szCs w:val="28"/>
        </w:rPr>
      </w:pP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Направление подготовки</w:t>
      </w: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38.03.0</w:t>
      </w:r>
      <w:r w:rsidR="007648A7">
        <w:rPr>
          <w:rFonts w:cs="Calibri"/>
          <w:sz w:val="28"/>
          <w:szCs w:val="28"/>
          <w:lang w:eastAsia="ar-SA"/>
        </w:rPr>
        <w:t>1</w:t>
      </w:r>
      <w:r w:rsidRPr="00A85149">
        <w:rPr>
          <w:rFonts w:cs="Calibri"/>
          <w:sz w:val="28"/>
          <w:szCs w:val="28"/>
          <w:lang w:eastAsia="ar-SA"/>
        </w:rPr>
        <w:t xml:space="preserve"> </w:t>
      </w:r>
      <w:r w:rsidR="007648A7">
        <w:rPr>
          <w:rFonts w:cs="Calibri"/>
          <w:sz w:val="28"/>
          <w:szCs w:val="28"/>
          <w:lang w:eastAsia="ar-SA"/>
        </w:rPr>
        <w:t>Экономика</w:t>
      </w:r>
    </w:p>
    <w:p w:rsidR="00A85149" w:rsidRPr="00A85149" w:rsidRDefault="00A85149" w:rsidP="00A85149">
      <w:pPr>
        <w:snapToGrid/>
        <w:jc w:val="center"/>
        <w:rPr>
          <w:rFonts w:cs="Calibri"/>
          <w:bCs/>
          <w:sz w:val="28"/>
          <w:szCs w:val="28"/>
          <w:lang w:eastAsia="ar-SA"/>
        </w:rPr>
      </w:pPr>
    </w:p>
    <w:p w:rsidR="00A85149" w:rsidRPr="00A85149" w:rsidRDefault="00A85149" w:rsidP="00A85149">
      <w:pPr>
        <w:autoSpaceDE w:val="0"/>
        <w:autoSpaceDN w:val="0"/>
        <w:adjustRightInd w:val="0"/>
        <w:snapToGrid/>
        <w:jc w:val="center"/>
        <w:rPr>
          <w:b/>
          <w:sz w:val="28"/>
          <w:szCs w:val="28"/>
        </w:rPr>
      </w:pPr>
      <w:r w:rsidRPr="00A85149">
        <w:rPr>
          <w:sz w:val="28"/>
          <w:szCs w:val="28"/>
        </w:rPr>
        <w:t>Направленность (профиль) подготовки</w:t>
      </w: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w:t>
      </w:r>
      <w:r w:rsidR="007648A7">
        <w:rPr>
          <w:rFonts w:cs="Calibri"/>
          <w:sz w:val="28"/>
          <w:szCs w:val="28"/>
          <w:lang w:eastAsia="ar-SA"/>
        </w:rPr>
        <w:t>Экономика предприятия</w:t>
      </w:r>
      <w:r w:rsidRPr="00A85149">
        <w:rPr>
          <w:rFonts w:cs="Calibri"/>
          <w:sz w:val="28"/>
          <w:szCs w:val="28"/>
          <w:lang w:eastAsia="ar-SA"/>
        </w:rPr>
        <w:t>»</w:t>
      </w:r>
    </w:p>
    <w:p w:rsidR="00A85149" w:rsidRPr="00A85149" w:rsidRDefault="00A85149" w:rsidP="00A85149">
      <w:pPr>
        <w:snapToGrid/>
        <w:jc w:val="center"/>
        <w:rPr>
          <w:rFonts w:cs="Calibri"/>
          <w:bCs/>
          <w:sz w:val="28"/>
          <w:szCs w:val="28"/>
          <w:lang w:eastAsia="ar-SA"/>
        </w:rPr>
      </w:pP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Квалификация выпускника – бакалавр</w:t>
      </w:r>
    </w:p>
    <w:p w:rsidR="00A85149" w:rsidRPr="00A85149" w:rsidRDefault="00A85149" w:rsidP="00A85149">
      <w:pPr>
        <w:snapToGrid/>
        <w:jc w:val="center"/>
        <w:rPr>
          <w:rFonts w:cs="Calibri"/>
          <w:sz w:val="28"/>
          <w:szCs w:val="28"/>
          <w:lang w:eastAsia="ar-SA"/>
        </w:rPr>
      </w:pPr>
    </w:p>
    <w:p w:rsidR="00A85149" w:rsidRPr="00A85149" w:rsidRDefault="00A85149" w:rsidP="00A85149">
      <w:pPr>
        <w:snapToGrid/>
        <w:jc w:val="center"/>
        <w:rPr>
          <w:rFonts w:cs="Calibri"/>
          <w:bCs/>
          <w:sz w:val="28"/>
          <w:szCs w:val="28"/>
          <w:lang w:eastAsia="ar-SA"/>
        </w:rPr>
      </w:pPr>
      <w:r w:rsidRPr="00A85149">
        <w:rPr>
          <w:rFonts w:cs="Calibri"/>
          <w:sz w:val="28"/>
          <w:szCs w:val="28"/>
          <w:lang w:eastAsia="ar-SA"/>
        </w:rPr>
        <w:t xml:space="preserve">Форма обучения – </w:t>
      </w:r>
      <w:r w:rsidR="007648A7">
        <w:rPr>
          <w:rFonts w:cs="Calibri"/>
          <w:sz w:val="28"/>
          <w:szCs w:val="28"/>
          <w:lang w:eastAsia="ar-SA"/>
        </w:rPr>
        <w:t>очная</w:t>
      </w:r>
    </w:p>
    <w:p w:rsidR="00226D55" w:rsidRPr="00226D55" w:rsidRDefault="00226D55" w:rsidP="00226D55">
      <w:pPr>
        <w:snapToGrid/>
        <w:jc w:val="center"/>
        <w:rPr>
          <w:rFonts w:cs="Calibri"/>
          <w:bCs/>
          <w:sz w:val="28"/>
          <w:szCs w:val="28"/>
          <w:lang w:eastAsia="ar-SA"/>
        </w:rPr>
      </w:pPr>
    </w:p>
    <w:p w:rsidR="00226D55" w:rsidRPr="00226D55" w:rsidRDefault="00226D55" w:rsidP="00226D55">
      <w:pPr>
        <w:snapToGrid/>
        <w:jc w:val="center"/>
        <w:rPr>
          <w:rFonts w:cs="Calibri"/>
          <w:bCs/>
          <w:sz w:val="28"/>
          <w:szCs w:val="28"/>
          <w:lang w:eastAsia="ar-SA"/>
        </w:rPr>
      </w:pPr>
    </w:p>
    <w:p w:rsidR="00226D55" w:rsidRPr="00226D55" w:rsidRDefault="00226D55" w:rsidP="00226D55">
      <w:pPr>
        <w:snapToGrid/>
        <w:jc w:val="center"/>
        <w:rPr>
          <w:rFonts w:cs="Calibri"/>
          <w:bCs/>
          <w:sz w:val="28"/>
          <w:szCs w:val="28"/>
          <w:lang w:eastAsia="ar-SA"/>
        </w:rPr>
      </w:pPr>
    </w:p>
    <w:p w:rsidR="00226D55" w:rsidRPr="00226D55" w:rsidRDefault="00226D55" w:rsidP="00226D55">
      <w:pPr>
        <w:snapToGrid/>
        <w:jc w:val="center"/>
        <w:rPr>
          <w:rFonts w:cs="Calibri"/>
          <w:bCs/>
          <w:sz w:val="28"/>
          <w:szCs w:val="28"/>
          <w:lang w:eastAsia="ar-SA"/>
        </w:rPr>
      </w:pPr>
    </w:p>
    <w:p w:rsidR="00226D55" w:rsidRPr="00226D55" w:rsidRDefault="00226D55" w:rsidP="00226D55">
      <w:pPr>
        <w:snapToGrid/>
        <w:jc w:val="center"/>
        <w:rPr>
          <w:rFonts w:cs="Calibri"/>
          <w:bCs/>
          <w:sz w:val="28"/>
          <w:szCs w:val="28"/>
          <w:lang w:eastAsia="ar-SA"/>
        </w:rPr>
      </w:pPr>
    </w:p>
    <w:p w:rsidR="00226D55" w:rsidRDefault="00226D55" w:rsidP="00226D55">
      <w:pPr>
        <w:snapToGrid/>
        <w:jc w:val="center"/>
        <w:rPr>
          <w:rFonts w:cs="Calibri"/>
          <w:bCs/>
          <w:sz w:val="28"/>
          <w:szCs w:val="28"/>
          <w:lang w:eastAsia="ar-SA"/>
        </w:rPr>
      </w:pPr>
    </w:p>
    <w:p w:rsidR="00226D55" w:rsidRDefault="00226D55" w:rsidP="00226D55">
      <w:pPr>
        <w:snapToGrid/>
        <w:jc w:val="center"/>
        <w:rPr>
          <w:rFonts w:cs="Calibri"/>
          <w:bCs/>
          <w:sz w:val="28"/>
          <w:szCs w:val="28"/>
          <w:lang w:eastAsia="ar-SA"/>
        </w:rPr>
      </w:pPr>
    </w:p>
    <w:p w:rsidR="00226D55" w:rsidRPr="00226D55" w:rsidRDefault="00226D55" w:rsidP="00226D55">
      <w:pPr>
        <w:suppressAutoHyphens/>
        <w:snapToGrid/>
        <w:contextualSpacing/>
        <w:jc w:val="center"/>
        <w:rPr>
          <w:kern w:val="1"/>
          <w:sz w:val="22"/>
          <w:szCs w:val="22"/>
          <w:lang w:eastAsia="ar-SA"/>
        </w:rPr>
      </w:pPr>
      <w:r w:rsidRPr="00226D55">
        <w:rPr>
          <w:sz w:val="28"/>
          <w:szCs w:val="28"/>
        </w:rPr>
        <w:t>Рязань 20</w:t>
      </w:r>
      <w:r>
        <w:rPr>
          <w:sz w:val="28"/>
          <w:szCs w:val="28"/>
        </w:rPr>
        <w:t>2</w:t>
      </w:r>
      <w:r w:rsidR="00965C22">
        <w:rPr>
          <w:sz w:val="28"/>
          <w:szCs w:val="28"/>
        </w:rPr>
        <w:t>0</w:t>
      </w:r>
      <w:r w:rsidRPr="00226D55">
        <w:rPr>
          <w:b/>
          <w:sz w:val="22"/>
          <w:szCs w:val="22"/>
          <w:lang w:eastAsia="en-US"/>
        </w:rPr>
        <w:br w:type="page"/>
      </w:r>
    </w:p>
    <w:p w:rsidR="00226D55" w:rsidRPr="00226D55" w:rsidRDefault="00226D55" w:rsidP="00226D55">
      <w:pPr>
        <w:numPr>
          <w:ilvl w:val="0"/>
          <w:numId w:val="3"/>
        </w:numPr>
        <w:tabs>
          <w:tab w:val="left" w:pos="284"/>
        </w:tabs>
        <w:autoSpaceDE w:val="0"/>
        <w:autoSpaceDN w:val="0"/>
        <w:adjustRightInd w:val="0"/>
        <w:snapToGrid/>
        <w:jc w:val="center"/>
        <w:rPr>
          <w:b/>
          <w:bCs/>
          <w:sz w:val="22"/>
          <w:szCs w:val="22"/>
        </w:rPr>
      </w:pPr>
      <w:r w:rsidRPr="00226D55">
        <w:rPr>
          <w:b/>
          <w:bCs/>
          <w:sz w:val="22"/>
          <w:szCs w:val="22"/>
        </w:rPr>
        <w:lastRenderedPageBreak/>
        <w:t>МЕТОДИЧЕСКИЕ УКАЗАНИЯ ДЛЯ ОБУЧАЮЩИХСЯ ПО ОСВОЕНИЮ ДИСЦИПЛИНЫ</w:t>
      </w:r>
    </w:p>
    <w:p w:rsidR="00226D55" w:rsidRPr="00226D55" w:rsidRDefault="00226D55" w:rsidP="00226D55">
      <w:pPr>
        <w:tabs>
          <w:tab w:val="left" w:pos="422"/>
        </w:tabs>
        <w:autoSpaceDE w:val="0"/>
        <w:autoSpaceDN w:val="0"/>
        <w:adjustRightInd w:val="0"/>
        <w:snapToGrid/>
        <w:ind w:firstLine="709"/>
        <w:jc w:val="both"/>
        <w:rPr>
          <w:b/>
          <w:i/>
          <w:sz w:val="22"/>
          <w:szCs w:val="22"/>
        </w:rPr>
      </w:pPr>
    </w:p>
    <w:p w:rsidR="00226D55" w:rsidRPr="00226D55" w:rsidRDefault="00226D55" w:rsidP="00226D55">
      <w:pPr>
        <w:tabs>
          <w:tab w:val="left" w:pos="422"/>
        </w:tabs>
        <w:autoSpaceDE w:val="0"/>
        <w:autoSpaceDN w:val="0"/>
        <w:adjustRightInd w:val="0"/>
        <w:snapToGrid/>
        <w:ind w:firstLine="709"/>
        <w:jc w:val="both"/>
        <w:rPr>
          <w:b/>
          <w:i/>
          <w:sz w:val="22"/>
          <w:szCs w:val="22"/>
        </w:rPr>
      </w:pPr>
      <w:r w:rsidRPr="00226D55">
        <w:rPr>
          <w:b/>
          <w:i/>
          <w:sz w:val="22"/>
          <w:szCs w:val="22"/>
        </w:rPr>
        <w:t>1. Описание последовательности действий студента («сценарий изучения дисциплины»)</w:t>
      </w:r>
    </w:p>
    <w:p w:rsidR="00226D55" w:rsidRPr="00226D55" w:rsidRDefault="00226D55" w:rsidP="00226D55">
      <w:pPr>
        <w:numPr>
          <w:ilvl w:val="0"/>
          <w:numId w:val="5"/>
        </w:numPr>
        <w:tabs>
          <w:tab w:val="left" w:pos="422"/>
          <w:tab w:val="left" w:pos="1134"/>
        </w:tabs>
        <w:autoSpaceDE w:val="0"/>
        <w:autoSpaceDN w:val="0"/>
        <w:adjustRightInd w:val="0"/>
        <w:snapToGrid/>
        <w:ind w:firstLine="709"/>
        <w:jc w:val="both"/>
        <w:rPr>
          <w:sz w:val="22"/>
          <w:szCs w:val="22"/>
        </w:rPr>
      </w:pPr>
      <w:r w:rsidRPr="00226D55">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226D55" w:rsidRPr="00226D55" w:rsidRDefault="00226D55" w:rsidP="00226D55">
      <w:pPr>
        <w:numPr>
          <w:ilvl w:val="0"/>
          <w:numId w:val="5"/>
        </w:numPr>
        <w:tabs>
          <w:tab w:val="left" w:pos="422"/>
          <w:tab w:val="left" w:pos="1134"/>
        </w:tabs>
        <w:autoSpaceDE w:val="0"/>
        <w:autoSpaceDN w:val="0"/>
        <w:adjustRightInd w:val="0"/>
        <w:snapToGrid/>
        <w:ind w:firstLine="709"/>
        <w:jc w:val="both"/>
        <w:rPr>
          <w:sz w:val="22"/>
          <w:szCs w:val="22"/>
        </w:rPr>
      </w:pPr>
      <w:r w:rsidRPr="00226D55">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226D55" w:rsidRPr="00226D55" w:rsidRDefault="00226D55" w:rsidP="00226D55">
      <w:pPr>
        <w:numPr>
          <w:ilvl w:val="0"/>
          <w:numId w:val="5"/>
        </w:numPr>
        <w:tabs>
          <w:tab w:val="left" w:pos="422"/>
          <w:tab w:val="left" w:pos="1134"/>
        </w:tabs>
        <w:autoSpaceDE w:val="0"/>
        <w:autoSpaceDN w:val="0"/>
        <w:adjustRightInd w:val="0"/>
        <w:snapToGrid/>
        <w:ind w:firstLine="709"/>
        <w:jc w:val="both"/>
        <w:rPr>
          <w:sz w:val="22"/>
          <w:szCs w:val="22"/>
        </w:rPr>
      </w:pPr>
      <w:r w:rsidRPr="00226D55">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26D55" w:rsidRPr="00226D55" w:rsidRDefault="00226D55" w:rsidP="00226D55">
      <w:pPr>
        <w:numPr>
          <w:ilvl w:val="0"/>
          <w:numId w:val="4"/>
        </w:numPr>
        <w:tabs>
          <w:tab w:val="left" w:pos="993"/>
        </w:tabs>
        <w:autoSpaceDE w:val="0"/>
        <w:autoSpaceDN w:val="0"/>
        <w:adjustRightInd w:val="0"/>
        <w:snapToGrid/>
        <w:ind w:firstLine="709"/>
        <w:jc w:val="both"/>
        <w:rPr>
          <w:sz w:val="22"/>
          <w:szCs w:val="22"/>
        </w:rPr>
      </w:pPr>
      <w:r w:rsidRPr="00226D55">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226D55" w:rsidRPr="00226D55" w:rsidRDefault="00226D55" w:rsidP="00226D55">
      <w:pPr>
        <w:numPr>
          <w:ilvl w:val="0"/>
          <w:numId w:val="4"/>
        </w:numPr>
        <w:tabs>
          <w:tab w:val="left" w:pos="993"/>
        </w:tabs>
        <w:autoSpaceDE w:val="0"/>
        <w:autoSpaceDN w:val="0"/>
        <w:adjustRightInd w:val="0"/>
        <w:snapToGrid/>
        <w:ind w:firstLine="709"/>
        <w:jc w:val="both"/>
        <w:rPr>
          <w:sz w:val="22"/>
          <w:szCs w:val="22"/>
        </w:rPr>
      </w:pPr>
      <w:r w:rsidRPr="00226D55">
        <w:rPr>
          <w:sz w:val="22"/>
          <w:szCs w:val="22"/>
        </w:rPr>
        <w:t xml:space="preserve">при подготовке к следующей лекции, нужно просмотреть текст предыдущей лекции (10-15 минут), </w:t>
      </w:r>
    </w:p>
    <w:p w:rsidR="00226D55" w:rsidRPr="00226D55" w:rsidRDefault="00226D55" w:rsidP="00226D55">
      <w:pPr>
        <w:numPr>
          <w:ilvl w:val="0"/>
          <w:numId w:val="4"/>
        </w:numPr>
        <w:tabs>
          <w:tab w:val="left" w:pos="993"/>
        </w:tabs>
        <w:autoSpaceDE w:val="0"/>
        <w:autoSpaceDN w:val="0"/>
        <w:adjustRightInd w:val="0"/>
        <w:snapToGrid/>
        <w:ind w:firstLine="709"/>
        <w:jc w:val="both"/>
        <w:rPr>
          <w:sz w:val="22"/>
          <w:szCs w:val="22"/>
        </w:rPr>
      </w:pPr>
      <w:r w:rsidRPr="00226D55">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26D55" w:rsidRPr="00226D55" w:rsidRDefault="00226D55" w:rsidP="00226D55">
      <w:pPr>
        <w:tabs>
          <w:tab w:val="left" w:pos="422"/>
        </w:tabs>
        <w:autoSpaceDE w:val="0"/>
        <w:autoSpaceDN w:val="0"/>
        <w:adjustRightInd w:val="0"/>
        <w:snapToGrid/>
        <w:ind w:firstLine="709"/>
        <w:jc w:val="both"/>
        <w:rPr>
          <w:b/>
          <w:sz w:val="22"/>
          <w:szCs w:val="22"/>
        </w:rPr>
      </w:pPr>
    </w:p>
    <w:p w:rsidR="00226D55" w:rsidRPr="00226D55" w:rsidRDefault="00226D55" w:rsidP="00226D55">
      <w:pPr>
        <w:tabs>
          <w:tab w:val="left" w:pos="422"/>
        </w:tabs>
        <w:autoSpaceDE w:val="0"/>
        <w:autoSpaceDN w:val="0"/>
        <w:adjustRightInd w:val="0"/>
        <w:snapToGrid/>
        <w:ind w:firstLine="709"/>
        <w:jc w:val="both"/>
        <w:rPr>
          <w:i/>
          <w:sz w:val="22"/>
          <w:szCs w:val="22"/>
        </w:rPr>
      </w:pPr>
      <w:r w:rsidRPr="00226D55">
        <w:rPr>
          <w:b/>
          <w:i/>
          <w:sz w:val="22"/>
          <w:szCs w:val="22"/>
        </w:rPr>
        <w:t>2. Рекомендации по работе с литературой</w:t>
      </w:r>
      <w:r w:rsidRPr="00226D55">
        <w:rPr>
          <w:i/>
          <w:sz w:val="22"/>
          <w:szCs w:val="22"/>
        </w:rPr>
        <w:t xml:space="preserve"> </w:t>
      </w:r>
    </w:p>
    <w:p w:rsidR="00226D55" w:rsidRPr="00226D55" w:rsidRDefault="00226D55" w:rsidP="00226D55">
      <w:pPr>
        <w:tabs>
          <w:tab w:val="left" w:pos="422"/>
        </w:tabs>
        <w:autoSpaceDE w:val="0"/>
        <w:autoSpaceDN w:val="0"/>
        <w:adjustRightInd w:val="0"/>
        <w:snapToGrid/>
        <w:ind w:firstLine="709"/>
        <w:jc w:val="both"/>
        <w:rPr>
          <w:sz w:val="22"/>
          <w:szCs w:val="22"/>
        </w:rPr>
      </w:pPr>
      <w:r w:rsidRPr="00226D55">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226D55" w:rsidRPr="00226D55" w:rsidRDefault="00226D55" w:rsidP="00226D55">
      <w:pPr>
        <w:autoSpaceDE w:val="0"/>
        <w:autoSpaceDN w:val="0"/>
        <w:adjustRightInd w:val="0"/>
        <w:snapToGrid/>
        <w:ind w:firstLine="709"/>
        <w:rPr>
          <w:sz w:val="22"/>
          <w:szCs w:val="22"/>
        </w:rPr>
      </w:pPr>
    </w:p>
    <w:p w:rsidR="00226D55" w:rsidRPr="00226D55" w:rsidRDefault="00226D55" w:rsidP="00226D55">
      <w:pPr>
        <w:tabs>
          <w:tab w:val="left" w:pos="5800"/>
        </w:tabs>
        <w:autoSpaceDE w:val="0"/>
        <w:autoSpaceDN w:val="0"/>
        <w:adjustRightInd w:val="0"/>
        <w:snapToGrid/>
        <w:ind w:firstLine="709"/>
        <w:jc w:val="both"/>
        <w:rPr>
          <w:rFonts w:eastAsia="Meiryo"/>
          <w:sz w:val="22"/>
          <w:szCs w:val="22"/>
        </w:rPr>
      </w:pPr>
      <w:r w:rsidRPr="00226D55">
        <w:rPr>
          <w:rFonts w:eastAsia="Meiryo"/>
          <w:b/>
          <w:i/>
          <w:sz w:val="22"/>
          <w:szCs w:val="22"/>
        </w:rPr>
        <w:t xml:space="preserve">3. Подготовка к </w:t>
      </w:r>
      <w:r w:rsidR="001D3F49">
        <w:rPr>
          <w:rFonts w:eastAsia="Meiryo"/>
          <w:b/>
          <w:i/>
          <w:sz w:val="22"/>
          <w:szCs w:val="22"/>
        </w:rPr>
        <w:t>промежуточной аттестации</w:t>
      </w:r>
    </w:p>
    <w:p w:rsidR="00226D55" w:rsidRPr="00226D55" w:rsidRDefault="00226D55" w:rsidP="00226D55">
      <w:pPr>
        <w:tabs>
          <w:tab w:val="left" w:pos="2900"/>
          <w:tab w:val="left" w:pos="3940"/>
          <w:tab w:val="left" w:pos="4820"/>
          <w:tab w:val="left" w:pos="5880"/>
          <w:tab w:val="left" w:pos="7520"/>
          <w:tab w:val="left" w:pos="8020"/>
          <w:tab w:val="left" w:pos="9060"/>
        </w:tabs>
        <w:autoSpaceDE w:val="0"/>
        <w:autoSpaceDN w:val="0"/>
        <w:adjustRightInd w:val="0"/>
        <w:snapToGrid/>
        <w:ind w:firstLine="709"/>
        <w:jc w:val="both"/>
        <w:rPr>
          <w:rFonts w:eastAsia="Meiryo"/>
          <w:sz w:val="22"/>
          <w:szCs w:val="22"/>
        </w:rPr>
      </w:pPr>
      <w:r w:rsidRPr="00226D55">
        <w:rPr>
          <w:rFonts w:eastAsia="Meiryo"/>
          <w:sz w:val="22"/>
          <w:szCs w:val="22"/>
        </w:rPr>
        <w:t xml:space="preserve">Главная задача </w:t>
      </w:r>
      <w:r w:rsidR="001D3F49">
        <w:rPr>
          <w:rFonts w:eastAsia="Meiryo"/>
          <w:sz w:val="22"/>
          <w:szCs w:val="22"/>
        </w:rPr>
        <w:t>промежуточной аттестации</w:t>
      </w:r>
      <w:r>
        <w:rPr>
          <w:rFonts w:eastAsia="Meiryo"/>
          <w:sz w:val="22"/>
          <w:szCs w:val="22"/>
        </w:rPr>
        <w:t xml:space="preserve"> </w:t>
      </w:r>
      <w:r w:rsidRPr="00226D55">
        <w:rPr>
          <w:rFonts w:eastAsia="Meiryo"/>
          <w:sz w:val="22"/>
          <w:szCs w:val="22"/>
        </w:rPr>
        <w:t>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w:t>
      </w:r>
      <w:r w:rsidR="001D3F49">
        <w:rPr>
          <w:rFonts w:eastAsia="Meiryo"/>
          <w:sz w:val="22"/>
          <w:szCs w:val="22"/>
        </w:rPr>
        <w:t xml:space="preserve"> промежуточной аттестации</w:t>
      </w:r>
      <w:r>
        <w:rPr>
          <w:rFonts w:eastAsia="Meiryo"/>
          <w:sz w:val="22"/>
          <w:szCs w:val="22"/>
        </w:rPr>
        <w:t xml:space="preserve"> </w:t>
      </w:r>
      <w:r w:rsidRPr="00226D55">
        <w:rPr>
          <w:rFonts w:eastAsia="Meiryo"/>
          <w:sz w:val="22"/>
          <w:szCs w:val="22"/>
        </w:rPr>
        <w:t xml:space="preserve">студент приводит в систему знания, полученные на лекциях, практических занятиях, разбирается в том, что осталось непонятным. </w:t>
      </w:r>
    </w:p>
    <w:p w:rsidR="00226D55" w:rsidRPr="00226D55" w:rsidRDefault="00226D55" w:rsidP="00226D55">
      <w:pPr>
        <w:widowControl/>
        <w:snapToGrid/>
        <w:ind w:firstLine="709"/>
        <w:rPr>
          <w:rFonts w:ascii="Calibri" w:hAnsi="Calibri"/>
          <w:sz w:val="22"/>
          <w:szCs w:val="22"/>
          <w:lang w:eastAsia="en-US"/>
        </w:rPr>
      </w:pP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rsidR="00226D55" w:rsidRPr="00226D55" w:rsidRDefault="00226D55" w:rsidP="00226D55">
      <w:pPr>
        <w:numPr>
          <w:ilvl w:val="0"/>
          <w:numId w:val="3"/>
        </w:numPr>
        <w:tabs>
          <w:tab w:val="left" w:pos="284"/>
        </w:tabs>
        <w:autoSpaceDE w:val="0"/>
        <w:autoSpaceDN w:val="0"/>
        <w:adjustRightInd w:val="0"/>
        <w:snapToGrid/>
        <w:jc w:val="center"/>
        <w:rPr>
          <w:b/>
          <w:bCs/>
          <w:sz w:val="22"/>
          <w:szCs w:val="22"/>
        </w:rPr>
      </w:pPr>
      <w:r w:rsidRPr="00226D55">
        <w:rPr>
          <w:b/>
          <w:bCs/>
          <w:sz w:val="22"/>
          <w:szCs w:val="22"/>
        </w:rPr>
        <w:t>МЕТОДИЧЕСКИЕ УКАЗАНИЯ ДЛЯ САМОСТОЯТЕЛЬНОЙ РАБОТЫ СТУДЕНТА</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Выделяют два вида самостоятельной работы студента (СРС):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непосредственно в ходе аудиторных занятий (лекций, практических, семинарских, </w:t>
      </w:r>
      <w:r w:rsidRPr="00226D55">
        <w:rPr>
          <w:rFonts w:eastAsia="Meiryo"/>
          <w:sz w:val="22"/>
          <w:szCs w:val="22"/>
        </w:rPr>
        <w:lastRenderedPageBreak/>
        <w:t>лабораторных занятий) под руководством и контролем преподавателя;</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самостоятельная работа студента во внеаудиторное время без участия преподавателя (дома, в библиотеке, в общежитии и т.д.).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Основными формами внеаудиторной СРС под руководством и контролем преподавателя являются: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текущие консультации (перед </w:t>
      </w:r>
      <w:r w:rsidR="001D3F49">
        <w:rPr>
          <w:rFonts w:eastAsia="Meiryo"/>
          <w:sz w:val="22"/>
          <w:szCs w:val="22"/>
        </w:rPr>
        <w:t>промежуточной аттестацией</w:t>
      </w:r>
      <w:r w:rsidRPr="00226D55">
        <w:rPr>
          <w:rFonts w:eastAsia="Meiryo"/>
          <w:sz w:val="22"/>
          <w:szCs w:val="22"/>
        </w:rPr>
        <w:t xml:space="preserve">, в межсессионный период и т. д.);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выполнение различных видов заданий во время прохождения учебных и производственных практик;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подготовка докладов и рефератов, написание курсовых и выпускных квалификационных работ;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Основными формами внеаудиторной СРС без участия преподавателя являются: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изучение учебной, научной, методической, справочной литературы, в том числе с привлечением электронных средств информации;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составление различных видов записей прочитанного: конспектирование, аннотирование, реферирование, цитирование, тезирование;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составление библиографии для различных видов учебных и научных работ;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подготовка к лабораторным, контрольным работам, их оформление; подготовка сообщений к выступлению на семинаре, конференции;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выполнение индивидуальных творческих заданий по различным разделам содержания учебной дисциплины;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учебно-исследовательской работы;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sym w:font="Symbol" w:char="F0B7"/>
      </w:r>
      <w:r w:rsidRPr="00226D55">
        <w:rPr>
          <w:rFonts w:eastAsia="Meiryo"/>
          <w:sz w:val="22"/>
          <w:szCs w:val="22"/>
        </w:rPr>
        <w:t xml:space="preserve"> текущий самоконтроль успеваемости на базе традиционных и электронных обучающих и аттестующих тестов.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Беглое чтение – первый шаг в работе с книгой. Оно предполагает ознакомление с книгой в целом при достаточно высокой скорости (до 300 страниц текста за 1,5-2 часа). Приемами скорочтения можно овладеть путем специальных тренировок.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Смешанное чтение. В нем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Существует несколько видов систематизированной записи прочитанного: аннотирование, планирование, конспектирование, тезирование, цитирование.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Аннотация - очень краткое изложение содержания. Ее можно написать только после прочтения и глубокого осмысления всего текста. В ней обычно дается оценка книги, статьи. В книгах она обычно помещается в самом начале.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 </w:t>
      </w:r>
      <w:r w:rsidRPr="00226D55">
        <w:rPr>
          <w:rFonts w:eastAsia="Meiryo"/>
          <w:sz w:val="22"/>
          <w:szCs w:val="22"/>
        </w:rPr>
        <w:lastRenderedPageBreak/>
        <w:t xml:space="preserve">является оглавление книги. В нем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Конспектирование – наиболее распространенная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Цитирование – дословное выписывание из текста выдержек, извлечений, наиболее существенно отражающих ту или иную мысль автора. Выбор цитат нужно подчинять определенной цели (как иллюстрация или подкрепление вывода и т.д.). Каждая цитата заключается в кавычки и сопровождается указанием на ее источник.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Существуют и другие виды записей по результатам работы с литературой.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Резюме - краткая оценка прочитанного, с выводами, главными итогами работы. Оно часто дается в заключение работы.</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r w:rsidRPr="00226D55">
        <w:rPr>
          <w:rFonts w:eastAsia="Meiryo"/>
          <w:sz w:val="22"/>
          <w:szCs w:val="22"/>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p w:rsid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rsidR="00226D55" w:rsidRPr="00226D55" w:rsidRDefault="00226D55" w:rsidP="00226D55">
      <w:pPr>
        <w:tabs>
          <w:tab w:val="left" w:pos="2040"/>
          <w:tab w:val="left" w:pos="4260"/>
          <w:tab w:val="left" w:pos="6320"/>
          <w:tab w:val="left" w:pos="7160"/>
          <w:tab w:val="left" w:pos="8600"/>
        </w:tabs>
        <w:autoSpaceDE w:val="0"/>
        <w:autoSpaceDN w:val="0"/>
        <w:adjustRightInd w:val="0"/>
        <w:snapToGrid/>
        <w:ind w:firstLine="709"/>
        <w:jc w:val="both"/>
        <w:rPr>
          <w:rFonts w:eastAsia="Meiryo"/>
          <w:sz w:val="22"/>
          <w:szCs w:val="22"/>
        </w:rPr>
      </w:pPr>
    </w:p>
    <w:p w:rsidR="00226D55" w:rsidRPr="00226D55" w:rsidRDefault="00226D55" w:rsidP="00226D55">
      <w:pPr>
        <w:numPr>
          <w:ilvl w:val="0"/>
          <w:numId w:val="3"/>
        </w:numPr>
        <w:tabs>
          <w:tab w:val="num" w:pos="0"/>
          <w:tab w:val="left" w:pos="284"/>
        </w:tabs>
        <w:autoSpaceDE w:val="0"/>
        <w:autoSpaceDN w:val="0"/>
        <w:adjustRightInd w:val="0"/>
        <w:snapToGrid/>
        <w:jc w:val="center"/>
        <w:rPr>
          <w:b/>
          <w:i/>
          <w:kern w:val="1"/>
          <w:sz w:val="22"/>
          <w:szCs w:val="22"/>
          <w:lang w:eastAsia="zh-CN"/>
        </w:rPr>
      </w:pPr>
      <w:r w:rsidRPr="00226D55">
        <w:rPr>
          <w:b/>
          <w:kern w:val="1"/>
          <w:sz w:val="22"/>
          <w:szCs w:val="22"/>
          <w:lang w:eastAsia="zh-CN"/>
        </w:rPr>
        <w:t xml:space="preserve">ВОПРОСЫ ДЛЯ ПОДГОТОВКИ К </w:t>
      </w:r>
      <w:r w:rsidR="001D3F49">
        <w:rPr>
          <w:b/>
          <w:kern w:val="1"/>
          <w:sz w:val="22"/>
          <w:szCs w:val="22"/>
          <w:lang w:eastAsia="zh-CN"/>
        </w:rPr>
        <w:t>ПРОМЕЖУТОЧНОЙ АТТЕСТАЦИИ</w:t>
      </w:r>
      <w:r w:rsidRPr="00226D55">
        <w:rPr>
          <w:b/>
          <w:kern w:val="1"/>
          <w:sz w:val="22"/>
          <w:szCs w:val="22"/>
          <w:lang w:eastAsia="zh-CN"/>
        </w:rPr>
        <w:t xml:space="preserve"> </w:t>
      </w:r>
    </w:p>
    <w:p w:rsidR="00EB0862" w:rsidRPr="00EB0862" w:rsidRDefault="00EB0862" w:rsidP="000A59E4">
      <w:pPr>
        <w:widowControl/>
        <w:snapToGrid/>
        <w:ind w:left="502"/>
        <w:rPr>
          <w:sz w:val="22"/>
          <w:szCs w:val="22"/>
          <w:lang w:eastAsia="en-US"/>
        </w:rPr>
      </w:pPr>
    </w:p>
    <w:p w:rsidR="000A59E4" w:rsidRPr="000A59E4" w:rsidRDefault="000A59E4" w:rsidP="000A59E4">
      <w:pPr>
        <w:widowControl/>
        <w:snapToGrid/>
        <w:ind w:left="502"/>
        <w:rPr>
          <w:sz w:val="22"/>
          <w:szCs w:val="22"/>
          <w:lang w:eastAsia="en-US"/>
        </w:rPr>
      </w:pP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Понятие инвестиций. Виды инвестиций.</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Взаимосвязь финансовых и реальных инвестиций.</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Особенности осуществления реальных и финансовых инвестиций.</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Понятие и классификация инвестиционных проектов.</w:t>
      </w:r>
    </w:p>
    <w:p w:rsidR="000A59E4" w:rsidRDefault="000A59E4" w:rsidP="000A59E4">
      <w:pPr>
        <w:widowControl/>
        <w:numPr>
          <w:ilvl w:val="0"/>
          <w:numId w:val="9"/>
        </w:numPr>
        <w:snapToGrid/>
        <w:rPr>
          <w:sz w:val="22"/>
          <w:szCs w:val="22"/>
          <w:lang w:eastAsia="en-US"/>
        </w:rPr>
      </w:pPr>
      <w:r w:rsidRPr="000A59E4">
        <w:rPr>
          <w:sz w:val="22"/>
          <w:szCs w:val="22"/>
          <w:lang w:eastAsia="en-US"/>
        </w:rPr>
        <w:t>Бизнес-план.</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Финансовая реализуемость инвестиционного проекта.</w:t>
      </w:r>
    </w:p>
    <w:p w:rsidR="000A59E4" w:rsidRPr="000A59E4" w:rsidRDefault="000A59E4" w:rsidP="000A59E4">
      <w:pPr>
        <w:widowControl/>
        <w:snapToGrid/>
        <w:ind w:left="502"/>
        <w:rPr>
          <w:sz w:val="22"/>
          <w:szCs w:val="22"/>
          <w:lang w:eastAsia="en-US"/>
        </w:rPr>
      </w:pPr>
      <w:r w:rsidRPr="000A59E4">
        <w:rPr>
          <w:sz w:val="22"/>
          <w:szCs w:val="22"/>
          <w:lang w:eastAsia="en-US"/>
        </w:rPr>
        <w:t>Экономическая оценка эффективности инвестиций (проектов).</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Показатели эффективности.</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Методы обоснования ставки дисконтирования в инвестиционных</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проектах.</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Инвестиционные риски. Сущность инвестиционных рисков. Виды,</w:t>
      </w:r>
    </w:p>
    <w:p w:rsidR="000A59E4" w:rsidRPr="000A59E4" w:rsidRDefault="000A59E4" w:rsidP="000A59E4">
      <w:pPr>
        <w:widowControl/>
        <w:snapToGrid/>
        <w:ind w:left="502"/>
        <w:rPr>
          <w:sz w:val="22"/>
          <w:szCs w:val="22"/>
          <w:lang w:eastAsia="en-US"/>
        </w:rPr>
      </w:pPr>
      <w:r w:rsidRPr="000A59E4">
        <w:rPr>
          <w:sz w:val="22"/>
          <w:szCs w:val="22"/>
          <w:lang w:eastAsia="en-US"/>
        </w:rPr>
        <w:t>классификация инвестиционных рисков.</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 xml:space="preserve"> Методы нейтрализации инвестиционных рисков.</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 xml:space="preserve"> Оценка инв. рисков. Методы оценки.</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Источники финансирования инвестиционных проектов.</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lastRenderedPageBreak/>
        <w:t>Методы финансирования инв. проектов:</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Лизинг.</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Венчурное финансирование.</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Проектное финансирование.</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Формы кредитования инвестиций.</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Бюджетное финансирование.</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Франчайзинг в инвестиционной деятельности.</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Финансовые рынки и финансовые институты.</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Сущность и виды финансовых рынков. Назначение и функции</w:t>
      </w:r>
      <w:r>
        <w:rPr>
          <w:sz w:val="22"/>
          <w:szCs w:val="22"/>
          <w:lang w:eastAsia="en-US"/>
        </w:rPr>
        <w:t xml:space="preserve"> </w:t>
      </w:r>
      <w:r w:rsidRPr="000A59E4">
        <w:rPr>
          <w:sz w:val="22"/>
          <w:szCs w:val="22"/>
          <w:lang w:eastAsia="en-US"/>
        </w:rPr>
        <w:t>отдельных сегментов финансового рынка.</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Основные финансовые институты, их функции и задачи.</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Финансовые инструменты.</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Финансовые инструменты: сущность, виды, классификация. Первичные</w:t>
      </w:r>
    </w:p>
    <w:p w:rsidR="000A59E4" w:rsidRPr="000A59E4" w:rsidRDefault="000A59E4" w:rsidP="000A59E4">
      <w:pPr>
        <w:widowControl/>
        <w:snapToGrid/>
        <w:ind w:left="502"/>
        <w:rPr>
          <w:sz w:val="22"/>
          <w:szCs w:val="22"/>
          <w:lang w:eastAsia="en-US"/>
        </w:rPr>
      </w:pPr>
      <w:r w:rsidRPr="000A59E4">
        <w:rPr>
          <w:sz w:val="22"/>
          <w:szCs w:val="22"/>
          <w:lang w:eastAsia="en-US"/>
        </w:rPr>
        <w:t>финансовые инструменты. Производные финансовые инструменты.</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Инвестиционные качества ценных бумаг.</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Иностранные инвестиции.</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Инвестиционная привлекательность страны. Конкурентоспособность</w:t>
      </w:r>
    </w:p>
    <w:p w:rsidR="000A59E4" w:rsidRPr="000A59E4" w:rsidRDefault="000A59E4" w:rsidP="000A59E4">
      <w:pPr>
        <w:widowControl/>
        <w:snapToGrid/>
        <w:ind w:left="502"/>
        <w:rPr>
          <w:sz w:val="22"/>
          <w:szCs w:val="22"/>
          <w:lang w:eastAsia="en-US"/>
        </w:rPr>
      </w:pPr>
      <w:r w:rsidRPr="000A59E4">
        <w:rPr>
          <w:sz w:val="22"/>
          <w:szCs w:val="22"/>
          <w:lang w:eastAsia="en-US"/>
        </w:rPr>
        <w:t>страны.</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Инвестиционная привлекательность региона.</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Инвестиционная привлекательность отрасли.</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Особые экономические зоны, территории опережающего развития,</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индустриальные парки, бизнес-центры.</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Инвестиционные рейтинги. Страновые инвестиционные риски.</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Формирование портфеля реальных инвестиций. Риск портфеля</w:t>
      </w:r>
    </w:p>
    <w:p w:rsidR="000A59E4" w:rsidRPr="000A59E4" w:rsidRDefault="000A59E4" w:rsidP="000A59E4">
      <w:pPr>
        <w:widowControl/>
        <w:numPr>
          <w:ilvl w:val="0"/>
          <w:numId w:val="9"/>
        </w:numPr>
        <w:snapToGrid/>
        <w:rPr>
          <w:sz w:val="22"/>
          <w:szCs w:val="22"/>
          <w:lang w:eastAsia="en-US"/>
        </w:rPr>
      </w:pPr>
      <w:r w:rsidRPr="000A59E4">
        <w:rPr>
          <w:sz w:val="22"/>
          <w:szCs w:val="22"/>
          <w:lang w:eastAsia="en-US"/>
        </w:rPr>
        <w:t>реальных инвестиций.</w:t>
      </w:r>
    </w:p>
    <w:p w:rsidR="00226D55" w:rsidRPr="00EB0862" w:rsidRDefault="00226D55" w:rsidP="000A59E4">
      <w:pPr>
        <w:widowControl/>
        <w:snapToGrid/>
        <w:ind w:left="502"/>
        <w:rPr>
          <w:sz w:val="22"/>
          <w:szCs w:val="22"/>
          <w:lang w:eastAsia="en-US"/>
        </w:rPr>
      </w:pPr>
    </w:p>
    <w:sectPr w:rsidR="00226D55" w:rsidRPr="00EB0862" w:rsidSect="00226D55">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36"/>
    <w:lvl w:ilvl="0">
      <w:start w:val="1"/>
      <w:numFmt w:val="decimal"/>
      <w:lvlText w:val="%1)"/>
      <w:lvlJc w:val="left"/>
      <w:pPr>
        <w:tabs>
          <w:tab w:val="num" w:pos="814"/>
        </w:tabs>
        <w:ind w:left="814" w:hanging="360"/>
      </w:pPr>
      <w:rPr>
        <w:rFonts w:cs="Times New Roman"/>
      </w:rPr>
    </w:lvl>
  </w:abstractNum>
  <w:abstractNum w:abstractNumId="1">
    <w:nsid w:val="00000012"/>
    <w:multiLevelType w:val="singleLevel"/>
    <w:tmpl w:val="D59EB83E"/>
    <w:lvl w:ilvl="0">
      <w:start w:val="1"/>
      <w:numFmt w:val="decimal"/>
      <w:lvlText w:val="%1."/>
      <w:lvlJc w:val="left"/>
      <w:pPr>
        <w:tabs>
          <w:tab w:val="num" w:pos="0"/>
        </w:tabs>
        <w:ind w:left="1069" w:hanging="360"/>
      </w:pPr>
      <w:rPr>
        <w:rFonts w:cs="Times New Roman" w:hint="default"/>
        <w:b/>
        <w:i w:val="0"/>
      </w:rPr>
    </w:lvl>
  </w:abstractNum>
  <w:abstractNum w:abstractNumId="2">
    <w:nsid w:val="10F70161"/>
    <w:multiLevelType w:val="hybridMultilevel"/>
    <w:tmpl w:val="17A0B578"/>
    <w:lvl w:ilvl="0" w:tplc="4746BC2E">
      <w:start w:val="1"/>
      <w:numFmt w:val="bullet"/>
      <w:lvlText w:val=""/>
      <w:lvlJc w:val="left"/>
      <w:pPr>
        <w:ind w:hanging="360"/>
      </w:pPr>
      <w:rPr>
        <w:rFonts w:ascii="Symbol" w:hAnsi="Symbol" w:hint="default"/>
      </w:rPr>
    </w:lvl>
    <w:lvl w:ilvl="1" w:tplc="04190003">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7CD1501"/>
    <w:multiLevelType w:val="hybridMultilevel"/>
    <w:tmpl w:val="31AC0630"/>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2FE92FBD"/>
    <w:multiLevelType w:val="hybridMultilevel"/>
    <w:tmpl w:val="539C1D1A"/>
    <w:lvl w:ilvl="0" w:tplc="04190011">
      <w:start w:val="1"/>
      <w:numFmt w:val="decimal"/>
      <w:lvlText w:val="%1)"/>
      <w:lvlJc w:val="left"/>
      <w:pPr>
        <w:ind w:hanging="360"/>
      </w:pPr>
      <w:rPr>
        <w:rFonts w:cs="Times New Roman"/>
      </w:rPr>
    </w:lvl>
    <w:lvl w:ilvl="1" w:tplc="04190019">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5">
    <w:nsid w:val="36AA5045"/>
    <w:multiLevelType w:val="hybridMultilevel"/>
    <w:tmpl w:val="7F7E6B76"/>
    <w:lvl w:ilvl="0" w:tplc="CB4CD870">
      <w:start w:val="1"/>
      <w:numFmt w:val="decimal"/>
      <w:lvlText w:val="%1."/>
      <w:lvlJc w:val="left"/>
      <w:pPr>
        <w:ind w:left="1429" w:hanging="360"/>
      </w:pPr>
      <w:rPr>
        <w:rFonts w:cs="Times New Roman" w:hint="default"/>
        <w:sz w:val="22"/>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11121D5"/>
    <w:multiLevelType w:val="hybridMultilevel"/>
    <w:tmpl w:val="FD66FB3A"/>
    <w:lvl w:ilvl="0" w:tplc="A66AB80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6174D66"/>
    <w:multiLevelType w:val="singleLevel"/>
    <w:tmpl w:val="0419000F"/>
    <w:lvl w:ilvl="0">
      <w:start w:val="1"/>
      <w:numFmt w:val="decimal"/>
      <w:lvlText w:val="%1."/>
      <w:lvlJc w:val="left"/>
      <w:pPr>
        <w:tabs>
          <w:tab w:val="num" w:pos="502"/>
        </w:tabs>
        <w:ind w:left="502" w:hanging="360"/>
      </w:pPr>
      <w:rPr>
        <w:rFonts w:cs="Times New Roman"/>
      </w:rPr>
    </w:lvl>
  </w:abstractNum>
  <w:abstractNum w:abstractNumId="8">
    <w:nsid w:val="6CC46F12"/>
    <w:multiLevelType w:val="hybridMultilevel"/>
    <w:tmpl w:val="C5585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 w:numId="8">
    <w:abstractNumId w:val="8"/>
  </w:num>
  <w:num w:numId="9">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26D55"/>
    <w:rsid w:val="00061A3A"/>
    <w:rsid w:val="000A59E4"/>
    <w:rsid w:val="001D3F49"/>
    <w:rsid w:val="00226D55"/>
    <w:rsid w:val="004D1BBC"/>
    <w:rsid w:val="005D3EDA"/>
    <w:rsid w:val="005E5C41"/>
    <w:rsid w:val="006066F2"/>
    <w:rsid w:val="007648A7"/>
    <w:rsid w:val="007D11DF"/>
    <w:rsid w:val="008A3374"/>
    <w:rsid w:val="00965C22"/>
    <w:rsid w:val="00A85149"/>
    <w:rsid w:val="00A9612C"/>
    <w:rsid w:val="00B33CBB"/>
    <w:rsid w:val="00BA2899"/>
    <w:rsid w:val="00CC7181"/>
    <w:rsid w:val="00CD1635"/>
    <w:rsid w:val="00CF482F"/>
    <w:rsid w:val="00D44AE6"/>
    <w:rsid w:val="00DE1D97"/>
    <w:rsid w:val="00DF5A33"/>
    <w:rsid w:val="00E9153E"/>
    <w:rsid w:val="00EB0862"/>
    <w:rsid w:val="00F259B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0862"/>
    <w:pPr>
      <w:widowControl w:val="0"/>
      <w:snapToGrid w:val="0"/>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A3A"/>
    <w:pPr>
      <w:widowControl/>
      <w:snapToGrid/>
      <w:spacing w:after="160" w:line="259" w:lineRule="auto"/>
      <w:ind w:left="720"/>
      <w:contextualSpacing/>
    </w:pPr>
    <w:rPr>
      <w:rFonts w:asciiTheme="minorHAnsi" w:hAnsiTheme="minorHAnsi" w:cstheme="minorBidi"/>
      <w:sz w:val="22"/>
      <w:szCs w:val="22"/>
      <w:lang w:eastAsia="en-US"/>
    </w:rPr>
  </w:style>
  <w:style w:type="paragraph" w:styleId="a4">
    <w:name w:val="Body Text Indent"/>
    <w:basedOn w:val="a"/>
    <w:link w:val="a5"/>
    <w:uiPriority w:val="99"/>
    <w:semiHidden/>
    <w:unhideWhenUsed/>
    <w:rsid w:val="00EB0862"/>
    <w:pPr>
      <w:widowControl/>
      <w:snapToGrid/>
      <w:ind w:firstLine="709"/>
    </w:pPr>
    <w:rPr>
      <w:sz w:val="24"/>
    </w:rPr>
  </w:style>
  <w:style w:type="character" w:customStyle="1" w:styleId="a5">
    <w:name w:val="Основной текст с отступом Знак"/>
    <w:basedOn w:val="a0"/>
    <w:link w:val="a4"/>
    <w:uiPriority w:val="99"/>
    <w:semiHidden/>
    <w:locked/>
    <w:rsid w:val="00EB086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97825753">
      <w:bodyDiv w:val="1"/>
      <w:marLeft w:val="0"/>
      <w:marRight w:val="0"/>
      <w:marTop w:val="0"/>
      <w:marBottom w:val="0"/>
      <w:divBdr>
        <w:top w:val="none" w:sz="0" w:space="0" w:color="auto"/>
        <w:left w:val="none" w:sz="0" w:space="0" w:color="auto"/>
        <w:bottom w:val="none" w:sz="0" w:space="0" w:color="auto"/>
        <w:right w:val="none" w:sz="0" w:space="0" w:color="auto"/>
      </w:divBdr>
    </w:div>
    <w:div w:id="2082210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1852</Words>
  <Characters>10561</Characters>
  <Application>Microsoft Office Word</Application>
  <DocSecurity>0</DocSecurity>
  <Lines>88</Lines>
  <Paragraphs>24</Paragraphs>
  <ScaleCrop>false</ScaleCrop>
  <Company>RSREU</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ЭМОП</dc:creator>
  <cp:lastModifiedBy>Павел</cp:lastModifiedBy>
  <cp:revision>5</cp:revision>
  <dcterms:created xsi:type="dcterms:W3CDTF">2023-04-01T19:03:00Z</dcterms:created>
  <dcterms:modified xsi:type="dcterms:W3CDTF">2023-09-21T15:31:00Z</dcterms:modified>
</cp:coreProperties>
</file>