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uto" w:line="240" w:before="0" w:after="0"/>
        <w:jc w:val="center"/>
        <w:rPr>
          <w:rFonts w:ascii="Times New Roman" w:hAnsi="Times New Roman" w:eastAsia="Calibri" w:cs="Times New Roman"/>
          <w:color w:val="000000"/>
          <w:sz w:val="24"/>
          <w:szCs w:val="24"/>
        </w:rPr>
      </w:pPr>
      <w:r>
        <w:rPr>
          <w:rFonts w:eastAsia="Calibri" w:cs="Times New Roman" w:ascii="Times New Roman" w:hAnsi="Times New Roman"/>
          <w:color w:val="000000"/>
          <w:sz w:val="24"/>
          <w:szCs w:val="24"/>
        </w:rPr>
        <w:t>МИНИСТЕРСТВО НАУКИ И ВЫСШЕГО ОБРАЗОВАНИЯ РОССИЙСКОЙ ФЕДЕРАЦИИ</w:t>
      </w:r>
    </w:p>
    <w:p>
      <w:pPr>
        <w:pStyle w:val="Normal"/>
        <w:spacing w:lineRule="auto" w:line="240" w:before="0" w:after="0"/>
        <w:ind w:left="5" w:hanging="0"/>
        <w:jc w:val="center"/>
        <w:rPr>
          <w:rFonts w:ascii="Times New Roman" w:hAnsi="Times New Roman" w:eastAsia="Times New Roman" w:cs="Times New Roman"/>
          <w:color w:val="000000"/>
          <w:sz w:val="24"/>
          <w:szCs w:val="24"/>
          <w:lang w:eastAsia="zh-CN"/>
        </w:rPr>
      </w:pPr>
      <w:r>
        <w:rPr>
          <w:rFonts w:eastAsia="Times New Roman"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ФЕДЕРАЛЬНОЕ ГОСУДАРСТВЕННОЕ БЮДЖЕТНОЕ ОБРАЗОВАТЕЛЬНОЕ</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УЧРЕЖДЕНИЕ ВЫСШЕГО ОБРАЗОВАНИЯ</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«РЯЗАНСКИЙ ГОСУДАРСТВЕННЫЙ РАДИОТЕХНИЧЕСКИЙ УНИВЕРСИТЕТ</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t xml:space="preserve"> </w:t>
      </w:r>
      <w:r>
        <w:rPr>
          <w:rFonts w:cs="Times New Roman" w:ascii="Times New Roman" w:hAnsi="Times New Roman"/>
          <w:color w:val="000000"/>
          <w:sz w:val="24"/>
          <w:szCs w:val="24"/>
          <w:lang w:eastAsia="zh-CN"/>
        </w:rPr>
        <w:t>ИМЕНИ В.Ф. УТКИНА»</w:t>
      </w:r>
    </w:p>
    <w:p>
      <w:pPr>
        <w:pStyle w:val="Normal"/>
        <w:spacing w:lineRule="auto" w:line="240" w:before="0" w:after="0"/>
        <w:ind w:left="5" w:hanging="0"/>
        <w:jc w:val="center"/>
        <w:rPr>
          <w:rFonts w:ascii="Times New Roman" w:hAnsi="Times New Roman" w:cs="Times New Roman"/>
          <w:color w:val="000000"/>
          <w:sz w:val="24"/>
          <w:szCs w:val="24"/>
          <w:lang w:eastAsia="zh-CN"/>
        </w:rPr>
      </w:pPr>
      <w:r>
        <w:rPr>
          <w:rFonts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t>Кафедра «Телекоммуникаций и основ радиотехники»</w:t>
      </w:r>
    </w:p>
    <w:p>
      <w:pPr>
        <w:pStyle w:val="Normal"/>
        <w:spacing w:lineRule="auto" w:line="240" w:before="0" w:after="0"/>
        <w:ind w:left="5" w:hanging="0"/>
        <w:jc w:val="center"/>
        <w:rPr>
          <w:rFonts w:ascii="Times New Roman" w:hAnsi="Times New Roman" w:eastAsia="TimesNewRomanPSMT" w:cs="Times New Roman"/>
          <w:color w:val="000000"/>
          <w:sz w:val="24"/>
          <w:szCs w:val="24"/>
          <w:lang w:eastAsia="zh-CN"/>
        </w:rPr>
      </w:pPr>
      <w:r>
        <w:rPr>
          <w:rFonts w:eastAsia="TimesNewRomanPSMT" w:cs="Times New Roman" w:ascii="Times New Roman" w:hAnsi="Times New Roman"/>
          <w:color w:val="000000"/>
          <w:sz w:val="24"/>
          <w:szCs w:val="24"/>
          <w:lang w:eastAsia="zh-CN"/>
        </w:rPr>
      </w:r>
    </w:p>
    <w:p>
      <w:pPr>
        <w:pStyle w:val="Normal"/>
        <w:spacing w:lineRule="auto" w:line="240" w:before="0" w:after="0"/>
        <w:ind w:left="5" w:hanging="0"/>
        <w:jc w:val="center"/>
        <w:rPr>
          <w:rFonts w:ascii="Times New Roman" w:hAnsi="Times New Roman" w:eastAsia="Times New Roman" w:cs="Times New Roman"/>
          <w:b/>
          <w:b/>
          <w:color w:val="000000"/>
          <w:sz w:val="24"/>
          <w:szCs w:val="24"/>
        </w:rPr>
      </w:pPr>
      <w:r>
        <w:rPr>
          <w:rFonts w:eastAsia="Times New Roman"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t xml:space="preserve">МЕТОДИЧЕСКОЕ ОБЕСПЕЧЕНИЕ ДИСЦИПЛИНЫ </w:t>
      </w:r>
    </w:p>
    <w:p>
      <w:pPr>
        <w:pStyle w:val="Normal"/>
        <w:suppressAutoHyphens w:val="true"/>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uppressAutoHyphens w:val="true"/>
        <w:spacing w:lineRule="auto" w:line="240" w:before="0" w:after="5"/>
        <w:ind w:left="6" w:hanging="0"/>
        <w:jc w:val="center"/>
        <w:rPr>
          <w:rFonts w:ascii="Times New Roman" w:hAnsi="Times New Roman" w:cs="Times New Roman"/>
          <w:b/>
          <w:b/>
          <w:color w:val="000000"/>
          <w:sz w:val="28"/>
          <w:szCs w:val="24"/>
        </w:rPr>
      </w:pPr>
      <w:r>
        <w:rPr>
          <w:rFonts w:cs="Times New Roman" w:ascii="Times New Roman" w:hAnsi="Times New Roman"/>
          <w:b/>
          <w:color w:val="000000"/>
          <w:sz w:val="28"/>
          <w:szCs w:val="24"/>
        </w:rPr>
        <w:t>«РАДИОТЕХНИЧЕСКИЕ ЦЕПИ И СИГНАЛЫ»</w:t>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uppressAutoHyphens w:val="true"/>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t>Специальность</w:t>
      </w:r>
    </w:p>
    <w:p>
      <w:pPr>
        <w:pStyle w:val="Normal"/>
        <w:spacing w:lineRule="auto" w:line="240" w:before="0" w:after="0"/>
        <w:ind w:left="5" w:hanging="0"/>
        <w:jc w:val="center"/>
        <w:rPr>
          <w:rFonts w:ascii="Times New Roman" w:hAnsi="Times New Roman" w:eastAsia="Times New Roman" w:cs="Times New Roman"/>
          <w:color w:val="000000"/>
          <w:sz w:val="24"/>
          <w:szCs w:val="24"/>
        </w:rPr>
      </w:pPr>
      <w:r>
        <w:rPr>
          <w:rFonts w:cs="Times New Roman" w:ascii="Times New Roman" w:hAnsi="Times New Roman"/>
          <w:color w:val="000000"/>
          <w:sz w:val="24"/>
          <w:szCs w:val="24"/>
        </w:rPr>
        <w:t>11.05.01 «Радиоэлектронные системы и комплексы»</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Специализация</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«Радиоэлектронная борьба»</w:t>
      </w:r>
      <w:bookmarkStart w:id="0" w:name="_GoBack"/>
      <w:bookmarkEnd w:id="0"/>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Уровень подготовки</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Специалитет</w:t>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t>Квалификация выпускника – инженер</w:t>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ind w:left="5" w:hanging="0"/>
        <w:jc w:val="center"/>
        <w:rPr>
          <w:rFonts w:ascii="Times New Roman" w:hAnsi="Times New Roman" w:cs="Times New Roman"/>
          <w:b/>
          <w:b/>
          <w:color w:val="000000"/>
          <w:sz w:val="24"/>
          <w:szCs w:val="24"/>
        </w:rPr>
      </w:pPr>
      <w:r>
        <w:rPr>
          <w:rFonts w:cs="Times New Roman" w:ascii="Times New Roman" w:hAnsi="Times New Roman"/>
          <w:color w:val="000000"/>
          <w:sz w:val="24"/>
          <w:szCs w:val="24"/>
        </w:rPr>
        <w:t>Формы обучения – очная</w:t>
      </w:r>
    </w:p>
    <w:p>
      <w:pPr>
        <w:pStyle w:val="Normal"/>
        <w:spacing w:lineRule="auto" w:line="240" w:before="0" w:after="0"/>
        <w:ind w:left="1445" w:hanging="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ind w:left="5" w:hanging="0"/>
        <w:jc w:val="center"/>
        <w:rPr>
          <w:rFonts w:ascii="Times New Roman" w:hAnsi="Times New Roman" w:cs="Times New Roman"/>
          <w:color w:val="000000"/>
          <w:sz w:val="24"/>
          <w:szCs w:val="24"/>
        </w:rPr>
      </w:pPr>
      <w:r>
        <w:rPr>
          <w:rFonts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Рязань 2021 г</w:t>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освоению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над конспектом лекции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работе с литературой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текстуальный конспект – это воспроизведение наиболее важных положений и фактов источника,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тематический конспект – составляется на основе изучения ряда источников и дает ответ по изучаемому вопросу.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практическим занятиям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заблаговременное ознакомление с планом занятия;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изучение рекомендованной литературы и конспекта лекций;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подготовку полных и глубоких ответов по каждому вопросу, выносимому для обсуждения;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w:t>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w:t>
        <w:tab/>
        <w:t xml:space="preserve">Студенту необходимо стараться отвечать, придерживаясь пунктов плана.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w:t>
        <w:tab/>
        <w:t xml:space="preserve">При устном ответе не волноваться, так как вокруг друзья, а они очень благожелательны к присутствующим.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4.</w:t>
        <w:tab/>
        <w:t xml:space="preserve">Следует говорить внятно при ответе, не употреблять слова-паразиты.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5.</w:t>
        <w:tab/>
        <w:t xml:space="preserve">Полезно изложить свои мысли по тому или иному вопросу дома, в общежитии.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лабораторным работам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Завершается лабораторная работа оформлением индивидуального отчета и его защитой перед преподавателем.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подготовке к зачету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 форма промежуточной проверки знаний, умений, владений, степени освоения дисциплины.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Зачет дает возможность также выявить, умеют ли студенты использовать теоретические знания при решении задач.</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На зачете оцениваются: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понимание и степень усвоения теории;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методическая подготовка;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знание фактического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знакомство с основной и дополнительно литературой, а также с современными публикациями по данному курсу;</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умение приложить теорию к практике, решать задачи, тесты, правильно проводить расчеты и т.д.;</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логика, структура и стиль ответа, умение защищать выдвигаемые положения.</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вопросы, необходимые для осмысления материала в целом;</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текущие вопросы, которые возникают при детальном разборе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Планируйте подготовку с точностью до часа, учитывая сразу несколько факторов:</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свои индивидуальные способности,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ритмы деятельности;</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привычки организма.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 xml:space="preserve">Методические рекомендации студентам по подготовке к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количественного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 возможности обеспечить достаточную изоляцию: не отвлекаться на разговоры с друзьями, просмотры телепередач, общение в социальных сетях;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уделять достаточное время сну;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отказаться от успокоительных. Здоровое волнение – это нормально. Лучше снимать волнение небольшими прогулками, самовнушением;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внушать себе, что сессия – это не проблема. Это нормальный рабочий процесс. Не накручивайте себя, не создавайте трагедий в своей голове;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помогите своему организму – обеспечьте ему полноценное питание, давайте ему периоды отдыха с переменой вида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следуйте плану подготовки.</w:t>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Методические рекомендации студентам по проведению самостоятельной работы</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учебном процессе образовательного учреждения выделяются два вида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1) </w:t>
      </w:r>
      <w:r>
        <w:rPr>
          <w:rFonts w:cs="Times New Roman" w:ascii="Times New Roman" w:hAnsi="Times New Roman"/>
          <w:i/>
          <w:sz w:val="24"/>
          <w:szCs w:val="24"/>
        </w:rPr>
        <w:t>аудиторная</w:t>
      </w:r>
      <w:r>
        <w:rPr>
          <w:rFonts w:cs="Times New Roman" w:ascii="Times New Roman" w:hAnsi="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самостоятельных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контрольных и лабораторных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составление схем, диаграмм, заполнение таблиц;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решение задач;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работу со справочной, нормативной документацией и научной литературой;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защиту выполненных работ;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тестирование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2) </w:t>
      </w:r>
      <w:r>
        <w:rPr>
          <w:rFonts w:cs="Times New Roman" w:ascii="Times New Roman" w:hAnsi="Times New Roman"/>
          <w:i/>
          <w:sz w:val="24"/>
          <w:szCs w:val="24"/>
        </w:rPr>
        <w:t>внеаудиторная</w:t>
      </w:r>
      <w:r>
        <w:rPr>
          <w:rFonts w:cs="Times New Roman" w:ascii="Times New Roman" w:hAnsi="Times New Roman"/>
          <w:sz w:val="24"/>
          <w:szCs w:val="24"/>
        </w:rPr>
        <w:t xml:space="preserve"> – выполняется по заданию преподавателя, но без его непосредственного участия, включает следующие виды деятельности.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аудиторным занятиям (теоретическим, практическим занятиям, лабораторным работам);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домашних заданий разнообразного характера;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выполнение индивидуальных заданий, направленных на развитие у студентов самостоятельности и инициативы;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учебной и производственной практикам и выполнение заданий, предусмотренных программами практик;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контрольной работе, экзамену;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написание курсовой работы, реферата и других письменных работ на заданные темы;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подготовку к ГИА, в том числе выполнение ВКР;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планировании заданий для внеаудиторной самостоятельной работы используются следующие типы самостоятельной работы: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т.д.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Типовые задания для самостоятельной работы</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sz w:val="24"/>
          <w:szCs w:val="24"/>
        </w:rPr>
        <w:t>Модуль 1</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sz w:val="24"/>
          <w:szCs w:val="24"/>
        </w:rPr>
        <w:t>Раздел 1.1.</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Введение</w:t>
      </w:r>
    </w:p>
    <w:p>
      <w:pPr>
        <w:pStyle w:val="ListParagraph"/>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 xml:space="preserve">Понятие радиотехники. </w:t>
      </w:r>
    </w:p>
    <w:p>
      <w:pPr>
        <w:pStyle w:val="ListParagraph"/>
        <w:numPr>
          <w:ilvl w:val="0"/>
          <w:numId w:val="2"/>
        </w:numPr>
        <w:tabs>
          <w:tab w:val="clear" w:pos="142"/>
          <w:tab w:val="left" w:pos="1138" w:leader="none"/>
        </w:tabs>
        <w:spacing w:lineRule="auto" w:line="240"/>
        <w:jc w:val="both"/>
        <w:rPr>
          <w:rFonts w:ascii="Times New Roman" w:hAnsi="Times New Roman"/>
          <w:sz w:val="24"/>
          <w:szCs w:val="24"/>
        </w:rPr>
      </w:pPr>
      <w:r>
        <w:rPr>
          <w:rFonts w:ascii="Times New Roman" w:hAnsi="Times New Roman"/>
          <w:sz w:val="24"/>
          <w:szCs w:val="24"/>
        </w:rPr>
        <w:t>Основная задача и области ее применения.</w:t>
      </w:r>
    </w:p>
    <w:p>
      <w:pPr>
        <w:pStyle w:val="Normal"/>
        <w:tabs>
          <w:tab w:val="clear" w:pos="142"/>
          <w:tab w:val="left" w:pos="1138" w:leader="none"/>
        </w:tabs>
        <w:spacing w:lineRule="auto" w:line="240"/>
        <w:jc w:val="center"/>
        <w:rPr>
          <w:rFonts w:ascii="Times New Roman" w:hAnsi="Times New Roman"/>
          <w:b/>
          <w:b/>
          <w:sz w:val="24"/>
          <w:szCs w:val="24"/>
        </w:rPr>
      </w:pPr>
      <w:r>
        <w:rPr>
          <w:rFonts w:ascii="Times New Roman" w:hAnsi="Times New Roman"/>
          <w:b/>
          <w:sz w:val="24"/>
          <w:szCs w:val="24"/>
        </w:rPr>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sz w:val="24"/>
          <w:szCs w:val="24"/>
        </w:rPr>
        <w:t>Раздел 1.2</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Детерминированные сигналы и их основные характеристики.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колебания и сигнала. Классификация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Разложение колебания по системе ортогональных функций.</w:t>
      </w:r>
    </w:p>
    <w:p>
      <w:pPr>
        <w:pStyle w:val="ListParagraph"/>
        <w:numPr>
          <w:ilvl w:val="0"/>
          <w:numId w:val="3"/>
        </w:numPr>
        <w:tabs>
          <w:tab w:val="clear" w:pos="142"/>
          <w:tab w:val="left" w:pos="990" w:leader="none"/>
          <w:tab w:val="center" w:pos="5669" w:leader="none"/>
        </w:tabs>
        <w:spacing w:lineRule="auto" w:line="240"/>
        <w:jc w:val="both"/>
        <w:rPr>
          <w:rFonts w:ascii="Times New Roman" w:hAnsi="Times New Roman"/>
          <w:sz w:val="24"/>
          <w:szCs w:val="24"/>
        </w:rPr>
      </w:pPr>
      <w:r>
        <w:rPr>
          <w:rFonts w:ascii="Times New Roman" w:hAnsi="Times New Roman"/>
          <w:sz w:val="24"/>
          <w:szCs w:val="24"/>
        </w:rPr>
        <w:t xml:space="preserve">Гармонический анализ периодического колебания (разложение </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периодического колебания в ряд Фурье по тригонометрическим функциям).</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Представление периодического колебания рядом Фурье в комплексной форме.</w:t>
      </w:r>
    </w:p>
    <w:p>
      <w:pPr>
        <w:pStyle w:val="ListParagraph"/>
        <w:numPr>
          <w:ilvl w:val="0"/>
          <w:numId w:val="3"/>
        </w:numPr>
        <w:spacing w:lineRule="auto" w:line="240"/>
        <w:rPr>
          <w:rFonts w:ascii="Times New Roman" w:hAnsi="Times New Roman"/>
          <w:sz w:val="24"/>
          <w:szCs w:val="24"/>
        </w:rPr>
      </w:pPr>
      <w:r>
        <w:rPr>
          <w:rFonts w:ascii="Times New Roman" w:hAnsi="Times New Roman"/>
          <w:sz w:val="24"/>
          <w:szCs w:val="24"/>
        </w:rPr>
        <w:t xml:space="preserve">Спектральный анализ импульсного колебания. Прямое и обратное </w:t>
      </w:r>
    </w:p>
    <w:p>
      <w:pPr>
        <w:pStyle w:val="ListParagraph"/>
        <w:spacing w:lineRule="auto" w:line="240"/>
        <w:ind w:left="720" w:hanging="0"/>
        <w:rPr>
          <w:rFonts w:ascii="Times New Roman" w:hAnsi="Times New Roman"/>
          <w:sz w:val="24"/>
          <w:szCs w:val="24"/>
        </w:rPr>
      </w:pPr>
      <w:r>
        <w:rPr>
          <w:rFonts w:ascii="Times New Roman" w:hAnsi="Times New Roman"/>
          <w:sz w:val="24"/>
          <w:szCs w:val="24"/>
        </w:rPr>
        <w:t>преобразование Фурье.</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Свойства преобразования Фурье.</w:t>
      </w:r>
    </w:p>
    <w:p>
      <w:pPr>
        <w:pStyle w:val="ListParagraph"/>
        <w:numPr>
          <w:ilvl w:val="0"/>
          <w:numId w:val="3"/>
        </w:numPr>
        <w:tabs>
          <w:tab w:val="clear" w:pos="142"/>
          <w:tab w:val="left" w:pos="1050" w:leader="none"/>
          <w:tab w:val="center" w:pos="5656" w:leader="none"/>
        </w:tabs>
        <w:spacing w:lineRule="auto" w:line="240"/>
        <w:rPr>
          <w:rFonts w:ascii="Times New Roman" w:hAnsi="Times New Roman"/>
          <w:sz w:val="24"/>
          <w:szCs w:val="24"/>
        </w:rPr>
      </w:pPr>
      <w:r>
        <w:rPr>
          <w:rFonts w:ascii="Times New Roman" w:hAnsi="Times New Roman"/>
          <w:sz w:val="24"/>
          <w:szCs w:val="24"/>
        </w:rPr>
        <w:t>Распределение энергии в спектре импульсного колебания.</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Соотношение между длительностью импульса и шириной его спектра.</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 xml:space="preserve">Примеры вычисления спектральной характеристики некоторых импульсных сигналов. </w:t>
      </w:r>
    </w:p>
    <w:p>
      <w:pPr>
        <w:pStyle w:val="ListParagraph"/>
        <w:numPr>
          <w:ilvl w:val="0"/>
          <w:numId w:val="3"/>
        </w:numPr>
        <w:tabs>
          <w:tab w:val="clear" w:pos="142"/>
          <w:tab w:val="left" w:pos="990" w:leader="none"/>
          <w:tab w:val="center" w:pos="5669" w:leader="none"/>
        </w:tabs>
        <w:spacing w:lineRule="auto" w:line="240"/>
        <w:rPr>
          <w:rFonts w:ascii="Times New Roman" w:hAnsi="Times New Roman"/>
          <w:sz w:val="24"/>
          <w:szCs w:val="24"/>
        </w:rPr>
      </w:pPr>
      <w:r>
        <w:rPr>
          <w:rFonts w:ascii="Times New Roman" w:hAnsi="Times New Roman"/>
          <w:sz w:val="24"/>
          <w:szCs w:val="24"/>
        </w:rPr>
        <w:t>Корреляционный анализ импульсного колебания.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Связь АКФ импульса с его спектральной характеристикой.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Понятие взаимной корреляционной функции импульсного колебания </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(ВКФ).</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дискретного сигнала. Математическое описание. Спектральные представления.</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Связь спектральных характеристик дискретного и аналогового сигналов.</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Восстановление аналогового сигнала по его дискретным отсчетам. Теория Котельникова. </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как колебание с медленно меняющимися огибающей и</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фазой.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амплитудной модуляцией (АМ). Гармоническая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Распределение мощности в спектре радиосигнала с гармонической АМ.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несколькими гармоническими колебаниями.</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Радиосигнал с АМ импульсным колебанием.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Понятие угловой модуляции. ЧМК и ФМК. Радиосигнал с гармонической угловой модуляцией (УМ).</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Спектр радиосигнала с гармонической угловой модуляцией.</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Применение преобразование Гильберта для однозначного определения</w:t>
      </w:r>
    </w:p>
    <w:p>
      <w:pPr>
        <w:pStyle w:val="Normal"/>
        <w:widowControl/>
        <w:spacing w:lineRule="auto" w:line="240"/>
        <w:ind w:left="720" w:hanging="0"/>
        <w:rPr>
          <w:rFonts w:ascii="Times New Roman" w:hAnsi="Times New Roman"/>
          <w:sz w:val="24"/>
          <w:szCs w:val="24"/>
        </w:rPr>
      </w:pPr>
      <w:r>
        <w:rPr>
          <w:rFonts w:ascii="Times New Roman" w:hAnsi="Times New Roman"/>
          <w:sz w:val="24"/>
          <w:szCs w:val="24"/>
        </w:rPr>
        <w:t>огибающей, частоты и фазы радиосигнала.</w:t>
      </w:r>
    </w:p>
    <w:p>
      <w:pPr>
        <w:pStyle w:val="Normal"/>
        <w:widowControl/>
        <w:numPr>
          <w:ilvl w:val="0"/>
          <w:numId w:val="3"/>
        </w:numPr>
        <w:spacing w:lineRule="auto" w:line="240"/>
        <w:rPr>
          <w:rFonts w:ascii="Times New Roman" w:hAnsi="Times New Roman"/>
          <w:sz w:val="24"/>
          <w:szCs w:val="24"/>
        </w:rPr>
      </w:pPr>
      <w:r>
        <w:rPr>
          <w:rFonts w:ascii="Times New Roman" w:hAnsi="Times New Roman"/>
          <w:sz w:val="24"/>
          <w:szCs w:val="24"/>
        </w:rPr>
        <w:t>Комплексное представление радиосигнала. Аналитический сигнал и его свойства.</w:t>
      </w:r>
    </w:p>
    <w:p>
      <w:pPr>
        <w:pStyle w:val="ListParagraph"/>
        <w:tabs>
          <w:tab w:val="clear" w:pos="142"/>
          <w:tab w:val="left" w:pos="1138" w:leader="none"/>
        </w:tabs>
        <w:spacing w:lineRule="auto" w:line="240"/>
        <w:ind w:left="720" w:hanging="0"/>
        <w:jc w:val="center"/>
        <w:rPr>
          <w:rFonts w:ascii="Times New Roman" w:hAnsi="Times New Roman"/>
          <w:b/>
          <w:b/>
          <w:sz w:val="24"/>
          <w:szCs w:val="24"/>
        </w:rPr>
      </w:pPr>
      <w:r>
        <w:rPr>
          <w:rFonts w:ascii="Times New Roman" w:hAnsi="Times New Roman"/>
          <w:b/>
          <w:sz w:val="24"/>
          <w:szCs w:val="24"/>
        </w:rPr>
      </w:r>
    </w:p>
    <w:p>
      <w:pPr>
        <w:pStyle w:val="ListParagraph"/>
        <w:tabs>
          <w:tab w:val="clear" w:pos="142"/>
          <w:tab w:val="left" w:pos="1138" w:leader="none"/>
        </w:tabs>
        <w:spacing w:lineRule="auto" w:line="240"/>
        <w:ind w:left="720" w:hanging="0"/>
        <w:jc w:val="center"/>
        <w:rPr>
          <w:rFonts w:ascii="Times New Roman" w:hAnsi="Times New Roman"/>
          <w:sz w:val="24"/>
          <w:szCs w:val="24"/>
        </w:rPr>
      </w:pPr>
      <w:r>
        <w:rPr>
          <w:rFonts w:ascii="Times New Roman" w:hAnsi="Times New Roman"/>
          <w:b/>
          <w:sz w:val="24"/>
          <w:szCs w:val="24"/>
        </w:rPr>
        <w:t>Раздел 1.3</w:t>
      </w:r>
    </w:p>
    <w:p>
      <w:pPr>
        <w:pStyle w:val="Normal"/>
        <w:widowControl/>
        <w:spacing w:lineRule="auto" w:line="240"/>
        <w:jc w:val="center"/>
        <w:rPr>
          <w:rFonts w:ascii="Times New Roman" w:hAnsi="Times New Roman"/>
          <w:sz w:val="24"/>
          <w:szCs w:val="24"/>
        </w:rPr>
      </w:pPr>
      <w:r>
        <w:rPr>
          <w:rFonts w:ascii="Times New Roman" w:hAnsi="Times New Roman"/>
          <w:sz w:val="24"/>
          <w:szCs w:val="24"/>
          <w:u w:val="single"/>
        </w:rPr>
        <w:t>Прохождение детерминированного сигнала через линейную радиотехническую цепь (РТЦ)</w:t>
      </w:r>
    </w:p>
    <w:p>
      <w:pPr>
        <w:pStyle w:val="ListParagraph"/>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Понятие линейной РТЦ. Основные параметры и характеристики.</w:t>
      </w:r>
    </w:p>
    <w:p>
      <w:pPr>
        <w:pStyle w:val="ListParagraph"/>
        <w:numPr>
          <w:ilvl w:val="0"/>
          <w:numId w:val="4"/>
        </w:numPr>
        <w:tabs>
          <w:tab w:val="clear" w:pos="142"/>
          <w:tab w:val="left" w:pos="1020" w:leader="none"/>
          <w:tab w:val="center" w:pos="5656" w:leader="none"/>
        </w:tabs>
        <w:spacing w:lineRule="auto" w:line="240"/>
        <w:rPr>
          <w:rFonts w:ascii="Times New Roman" w:hAnsi="Times New Roman"/>
          <w:sz w:val="24"/>
          <w:szCs w:val="24"/>
        </w:rPr>
      </w:pPr>
      <w:r>
        <w:rPr>
          <w:rFonts w:ascii="Times New Roman" w:hAnsi="Times New Roman"/>
          <w:sz w:val="24"/>
          <w:szCs w:val="24"/>
        </w:rPr>
        <w:t>Основные методы анализа прохождения детерминированного сигнала через линейную цепь.</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Условия неискаженного прохождения детерминированного сигнала</w:t>
      </w:r>
    </w:p>
    <w:p>
      <w:pPr>
        <w:pStyle w:val="ListParagraph"/>
        <w:spacing w:lineRule="auto" w:line="240"/>
        <w:ind w:left="1080" w:hanging="0"/>
        <w:rPr>
          <w:rFonts w:ascii="Times New Roman" w:hAnsi="Times New Roman"/>
          <w:sz w:val="24"/>
          <w:szCs w:val="24"/>
        </w:rPr>
      </w:pPr>
      <w:r>
        <w:rPr>
          <w:rFonts w:ascii="Times New Roman" w:hAnsi="Times New Roman"/>
          <w:sz w:val="24"/>
          <w:szCs w:val="24"/>
        </w:rPr>
        <w:t>через линейную РТЦ.</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Понятие усиления колебания. Схемы замещения линейного силиителя.</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Линейный апериодический усилитель и его основные характеристики.</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видеоимпульса через апериодический усилитель.</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Линейный резонансный усилитель (РУ) и его основные характеристики.</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 xml:space="preserve">Прохождение радиосигнала с гармонической АМ через линейный </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резонансный усилитель.</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Прохождение прямоугольного радиоимпульса через линейный резонансный усилитель.</w:t>
      </w:r>
    </w:p>
    <w:p>
      <w:pPr>
        <w:pStyle w:val="ListParagraph"/>
        <w:numPr>
          <w:ilvl w:val="0"/>
          <w:numId w:val="4"/>
        </w:numPr>
        <w:spacing w:lineRule="auto" w:line="240"/>
        <w:rPr>
          <w:rFonts w:ascii="Times New Roman" w:hAnsi="Times New Roman"/>
          <w:sz w:val="24"/>
          <w:szCs w:val="24"/>
        </w:rPr>
      </w:pPr>
      <w:r>
        <w:rPr>
          <w:rFonts w:ascii="Times New Roman" w:hAnsi="Times New Roman"/>
          <w:sz w:val="24"/>
          <w:szCs w:val="24"/>
        </w:rPr>
        <w:t>Линейный усилитель с обратной связью (ОС). Влияние ОС на основные характеристики усилителя.</w:t>
      </w:r>
    </w:p>
    <w:p>
      <w:pPr>
        <w:pStyle w:val="Normal"/>
        <w:spacing w:lineRule="auto" w:line="240"/>
        <w:jc w:val="center"/>
        <w:rPr>
          <w:rFonts w:ascii="Times New Roman" w:hAnsi="Times New Roman"/>
          <w:sz w:val="24"/>
          <w:szCs w:val="24"/>
        </w:rPr>
      </w:pPr>
      <w:r>
        <w:rPr>
          <w:rFonts w:ascii="Times New Roman" w:hAnsi="Times New Roman"/>
          <w:sz w:val="24"/>
          <w:szCs w:val="24"/>
        </w:rPr>
      </w:r>
    </w:p>
    <w:p>
      <w:pPr>
        <w:pStyle w:val="ListParagraph"/>
        <w:tabs>
          <w:tab w:val="clear" w:pos="142"/>
          <w:tab w:val="left" w:pos="1138" w:leader="none"/>
        </w:tabs>
        <w:spacing w:lineRule="auto" w:line="240"/>
        <w:ind w:left="720" w:hanging="0"/>
        <w:jc w:val="center"/>
        <w:rPr>
          <w:rFonts w:ascii="Times New Roman" w:hAnsi="Times New Roman"/>
          <w:sz w:val="24"/>
          <w:szCs w:val="24"/>
        </w:rPr>
      </w:pPr>
      <w:r>
        <w:rPr>
          <w:rFonts w:ascii="Times New Roman" w:hAnsi="Times New Roman"/>
          <w:b/>
          <w:sz w:val="24"/>
          <w:szCs w:val="24"/>
        </w:rPr>
        <w:t>Раздел 1.4</w:t>
      </w:r>
    </w:p>
    <w:p>
      <w:pPr>
        <w:pStyle w:val="Normal"/>
        <w:spacing w:lineRule="auto" w:line="240"/>
        <w:jc w:val="center"/>
        <w:rPr>
          <w:rFonts w:ascii="Times New Roman" w:hAnsi="Times New Roman"/>
          <w:sz w:val="24"/>
          <w:szCs w:val="24"/>
        </w:rPr>
      </w:pPr>
      <w:r>
        <w:rPr>
          <w:rFonts w:ascii="Times New Roman" w:hAnsi="Times New Roman"/>
          <w:sz w:val="24"/>
          <w:szCs w:val="24"/>
          <w:u w:val="single"/>
        </w:rPr>
        <w:t>Нелинейные РТЦ. Методы анализа. Применение.</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Понятие нелинейной РТЦ. Нелинейные элементы и методы аппроксимации их характеристик.</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(Аппроксимация ВАХ степенным полиномом).</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Преобразование спектра сигнала нелинейным резистивным элементом (кусочно-линейная аппроксимация).</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Нелинейное резонансное усиление колебаний.</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умножения частоты колебаний </w:t>
      </w:r>
    </w:p>
    <w:p>
      <w:pPr>
        <w:pStyle w:val="ListParagraph"/>
        <w:spacing w:lineRule="auto" w:line="240"/>
        <w:ind w:left="1080" w:hanging="0"/>
        <w:rPr>
          <w:rFonts w:ascii="Times New Roman" w:hAnsi="Times New Roman"/>
          <w:sz w:val="24"/>
          <w:szCs w:val="24"/>
        </w:rPr>
      </w:pPr>
      <w:r>
        <w:rPr>
          <w:rFonts w:ascii="Times New Roman" w:hAnsi="Times New Roman"/>
          <w:sz w:val="24"/>
          <w:szCs w:val="24"/>
        </w:rPr>
        <w:t>(умножитель частоты).</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 xml:space="preserve">Применение нелинейной РТЦ для получения АМК (амплитудный </w:t>
      </w:r>
    </w:p>
    <w:p>
      <w:pPr>
        <w:pStyle w:val="ListParagraph"/>
        <w:spacing w:lineRule="auto" w:line="240"/>
        <w:ind w:left="1080" w:hanging="0"/>
        <w:rPr>
          <w:rFonts w:ascii="Times New Roman" w:hAnsi="Times New Roman"/>
          <w:sz w:val="24"/>
          <w:szCs w:val="24"/>
        </w:rPr>
      </w:pPr>
      <w:r>
        <w:rPr>
          <w:rFonts w:ascii="Times New Roman" w:hAnsi="Times New Roman"/>
          <w:sz w:val="24"/>
          <w:szCs w:val="24"/>
        </w:rPr>
        <w:t xml:space="preserve">модулятор смещения). </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АМК.</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ФМК (фазовый детектор).</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детектирования ЧМК.</w:t>
      </w:r>
    </w:p>
    <w:p>
      <w:pPr>
        <w:pStyle w:val="ListParagraph"/>
        <w:numPr>
          <w:ilvl w:val="0"/>
          <w:numId w:val="5"/>
        </w:numPr>
        <w:spacing w:lineRule="auto" w:line="240"/>
        <w:rPr>
          <w:rFonts w:ascii="Times New Roman" w:hAnsi="Times New Roman"/>
          <w:sz w:val="24"/>
          <w:szCs w:val="24"/>
        </w:rPr>
      </w:pPr>
      <w:r>
        <w:rPr>
          <w:rFonts w:ascii="Times New Roman" w:hAnsi="Times New Roman"/>
          <w:sz w:val="24"/>
          <w:szCs w:val="24"/>
        </w:rPr>
        <w:t>Применение нелинейной РТЦ для преобразования частоты сигнал.</w:t>
      </w:r>
    </w:p>
    <w:p>
      <w:pPr>
        <w:pStyle w:val="Normal"/>
        <w:tabs>
          <w:tab w:val="clear" w:pos="142"/>
          <w:tab w:val="left" w:pos="1138" w:leader="none"/>
        </w:tabs>
        <w:spacing w:lineRule="auto" w:line="240"/>
        <w:rPr>
          <w:rFonts w:ascii="Times New Roman" w:hAnsi="Times New Roman"/>
          <w:b/>
          <w:b/>
          <w:sz w:val="24"/>
          <w:szCs w:val="24"/>
        </w:rPr>
      </w:pPr>
      <w:r>
        <w:rPr>
          <w:rFonts w:ascii="Times New Roman" w:hAnsi="Times New Roman"/>
          <w:b/>
          <w:sz w:val="24"/>
          <w:szCs w:val="24"/>
        </w:rPr>
      </w:r>
    </w:p>
    <w:p>
      <w:pPr>
        <w:pStyle w:val="Normal"/>
        <w:tabs>
          <w:tab w:val="clear" w:pos="142"/>
          <w:tab w:val="left" w:pos="1138" w:leader="none"/>
        </w:tabs>
        <w:spacing w:lineRule="auto" w:line="240"/>
        <w:rPr>
          <w:b/>
          <w:b/>
        </w:rPr>
      </w:pPr>
      <w:r>
        <w:rPr>
          <w:b/>
        </w:rPr>
      </w:r>
    </w:p>
    <w:p>
      <w:pPr>
        <w:pStyle w:val="Normal"/>
        <w:tabs>
          <w:tab w:val="clear" w:pos="142"/>
          <w:tab w:val="left" w:pos="1138" w:leader="none"/>
        </w:tabs>
        <w:spacing w:lineRule="auto" w:line="240"/>
        <w:jc w:val="center"/>
        <w:rPr>
          <w:b/>
          <w:b/>
        </w:rPr>
      </w:pPr>
      <w:r>
        <w:rPr>
          <w:b/>
        </w:rPr>
      </w:r>
    </w:p>
    <w:p>
      <w:pPr>
        <w:pStyle w:val="Normal"/>
        <w:tabs>
          <w:tab w:val="clear" w:pos="142"/>
          <w:tab w:val="left" w:pos="1138" w:leader="none"/>
        </w:tabs>
        <w:spacing w:lineRule="auto" w:line="240"/>
        <w:jc w:val="center"/>
        <w:rPr>
          <w:b/>
          <w:b/>
        </w:rPr>
      </w:pPr>
      <w:r>
        <w:rPr>
          <w:b/>
        </w:rPr>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b/>
          <w:sz w:val="24"/>
          <w:szCs w:val="24"/>
        </w:rPr>
        <w:t>Модуль 2</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Раздел 2.1</w:t>
      </w:r>
    </w:p>
    <w:p>
      <w:pPr>
        <w:pStyle w:val="Normal"/>
        <w:tabs>
          <w:tab w:val="clear" w:pos="142"/>
          <w:tab w:val="left" w:pos="1138" w:leader="none"/>
        </w:tabs>
        <w:spacing w:lineRule="auto" w:line="240"/>
        <w:jc w:val="center"/>
        <w:rPr>
          <w:rFonts w:ascii="Times New Roman" w:hAnsi="Times New Roman"/>
          <w:sz w:val="24"/>
          <w:szCs w:val="24"/>
        </w:rPr>
      </w:pPr>
      <w:r>
        <w:rPr>
          <w:rFonts w:ascii="Times New Roman" w:hAnsi="Times New Roman"/>
          <w:sz w:val="24"/>
          <w:szCs w:val="24"/>
          <w:u w:val="single"/>
        </w:rPr>
        <w:t>Генерирование гармонических сигналов</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Понятие автогенерации. Структурная схема автогенератора гармонических колебаний с внешней обратной связью.</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 xml:space="preserve">Основные электрические схемы </w:t>
      </w:r>
      <w:r>
        <w:rPr>
          <w:rFonts w:ascii="Times New Roman" w:hAnsi="Times New Roman"/>
          <w:sz w:val="24"/>
          <w:szCs w:val="24"/>
          <w:lang w:val="en-US"/>
        </w:rPr>
        <w:t>LC</w:t>
      </w:r>
      <w:r>
        <w:rPr>
          <w:rFonts w:ascii="Times New Roman" w:hAnsi="Times New Roman"/>
          <w:sz w:val="24"/>
          <w:szCs w:val="24"/>
        </w:rPr>
        <w:t>-АГ гармонических колебаний с внешней ОС.</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 xml:space="preserve">Условия возбуждения колебаний в </w:t>
      </w:r>
      <w:r>
        <w:rPr>
          <w:rFonts w:ascii="Times New Roman" w:hAnsi="Times New Roman"/>
          <w:sz w:val="24"/>
          <w:szCs w:val="24"/>
          <w:lang w:val="en-US"/>
        </w:rPr>
        <w:t>LC</w:t>
      </w:r>
      <w:r>
        <w:rPr>
          <w:rFonts w:ascii="Times New Roman" w:hAnsi="Times New Roman"/>
          <w:sz w:val="24"/>
          <w:szCs w:val="24"/>
        </w:rPr>
        <w:t>-АГ с внешней ОС.</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 xml:space="preserve">Переход к стационарному режиму работы </w:t>
      </w:r>
      <w:r>
        <w:rPr>
          <w:rFonts w:ascii="Times New Roman" w:hAnsi="Times New Roman"/>
          <w:sz w:val="24"/>
          <w:szCs w:val="24"/>
          <w:lang w:val="en-US"/>
        </w:rPr>
        <w:t>LC</w:t>
      </w:r>
      <w:r>
        <w:rPr>
          <w:rFonts w:ascii="Times New Roman" w:hAnsi="Times New Roman"/>
          <w:sz w:val="24"/>
          <w:szCs w:val="24"/>
        </w:rPr>
        <w:t>-АГ с внешней ОС. Нахождение амплитуды и частоты колебаний в стационарном режиме.</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rPr>
        <w:t>Мягкий и жесткий режимы работы АГ с внешней ОС.</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lang w:val="en-US"/>
        </w:rPr>
        <w:t>RC</w:t>
      </w:r>
      <w:r>
        <w:rPr>
          <w:rFonts w:ascii="Times New Roman" w:hAnsi="Times New Roman"/>
          <w:sz w:val="24"/>
          <w:szCs w:val="24"/>
        </w:rPr>
        <w:t>-АГ гармонических колебаний.</w:t>
      </w:r>
    </w:p>
    <w:p>
      <w:pPr>
        <w:pStyle w:val="ListParagraph"/>
        <w:numPr>
          <w:ilvl w:val="0"/>
          <w:numId w:val="6"/>
        </w:numPr>
        <w:spacing w:lineRule="auto" w:line="240"/>
        <w:rPr>
          <w:rFonts w:ascii="Times New Roman" w:hAnsi="Times New Roman"/>
          <w:sz w:val="24"/>
          <w:szCs w:val="24"/>
        </w:rPr>
      </w:pPr>
      <w:r>
        <w:rPr>
          <w:rFonts w:ascii="Times New Roman" w:hAnsi="Times New Roman"/>
          <w:sz w:val="24"/>
          <w:szCs w:val="24"/>
          <w:lang w:val="en-US"/>
        </w:rPr>
        <w:t>LC</w:t>
      </w:r>
      <w:r>
        <w:rPr>
          <w:rFonts w:ascii="Times New Roman" w:hAnsi="Times New Roman"/>
          <w:sz w:val="24"/>
          <w:szCs w:val="24"/>
        </w:rPr>
        <w:t>-АГ с внутренней ОС (</w:t>
      </w:r>
      <w:r>
        <w:rPr>
          <w:rFonts w:ascii="Times New Roman" w:hAnsi="Times New Roman"/>
          <w:sz w:val="24"/>
          <w:szCs w:val="24"/>
          <w:lang w:val="en-US"/>
        </w:rPr>
        <w:t>LC</w:t>
      </w:r>
      <w:r>
        <w:rPr>
          <w:rFonts w:ascii="Times New Roman" w:hAnsi="Times New Roman"/>
          <w:sz w:val="24"/>
          <w:szCs w:val="24"/>
        </w:rPr>
        <w:t>-АГ на туннельном диоде или любом двухполюснике с отрицательным дифференциальном сопротивлении).</w:t>
      </w:r>
    </w:p>
    <w:p>
      <w:pPr>
        <w:pStyle w:val="ListParagraph"/>
        <w:numPr>
          <w:ilvl w:val="0"/>
          <w:numId w:val="0"/>
        </w:numPr>
        <w:spacing w:lineRule="auto" w:line="240"/>
        <w:ind w:left="1790" w:hanging="0"/>
        <w:rPr>
          <w:rFonts w:ascii="Times New Roman" w:hAnsi="Times New Roman"/>
          <w:sz w:val="24"/>
          <w:szCs w:val="24"/>
        </w:rPr>
      </w:pPr>
      <w:r>
        <w:rPr>
          <w:rFonts w:ascii="Times New Roman" w:hAnsi="Times New Roman"/>
          <w:sz w:val="24"/>
          <w:szCs w:val="24"/>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 xml:space="preserve">Раздел 2.2 </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Случайные сигналы</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Понятие случайного сигнала (СС) и применение для его описания законов распределения и неслучайных числовых характеристик закона распределения.</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Стационарность и эргодичность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Понятие автокорреляционной функции (АКФ) случайного сигнала.</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Свойства АКФ стационарного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Энергетический спектр стационарного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Соотношение между шириной энергетического спектра и интервалом корреляции стационарного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Нахождение (вычисление) энергетического спектра эргодического СС по амплитудному спектру его реализации.</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Классификация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Гауссовский (нормальный) СС.</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Модель СС в виде «белого шума».</w:t>
      </w:r>
    </w:p>
    <w:p>
      <w:pPr>
        <w:pStyle w:val="ListParagraph"/>
        <w:numPr>
          <w:ilvl w:val="0"/>
          <w:numId w:val="7"/>
        </w:numPr>
        <w:spacing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Узкополосный СС. Закон распределения его огибающей и фазы.</w:t>
      </w:r>
    </w:p>
    <w:p>
      <w:pPr>
        <w:pStyle w:val="Normal"/>
        <w:widowControl/>
        <w:spacing w:lineRule="auto" w:line="240"/>
        <w:ind w:left="1080" w:hanging="0"/>
        <w:rPr>
          <w:rFonts w:ascii="Times New Roman" w:hAnsi="Times New Roman"/>
          <w:sz w:val="24"/>
          <w:szCs w:val="24"/>
        </w:rPr>
      </w:pPr>
      <w:r>
        <w:rPr>
          <w:rFonts w:ascii="Times New Roman" w:hAnsi="Times New Roman"/>
          <w:sz w:val="24"/>
          <w:szCs w:val="24"/>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Раздел 2.3</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Линейная фильтрация СС (прохождение СС через линейную РТЦ)</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Постановка задачи прохождения СС через линейную РТЦ. Закон распределения СС на выходе линейной РТЦ.</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Математическое ожидание СС на выходе линейной цепи.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Энергетический спектр СС на выходе линейной цепи.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АКФ и дисперсия СС на выходе линейной РТЦ.</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Понятие оптимальной линейной фильтрации. Частотные характеристики оптимального линейного фильтра.</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Импульсная характеристика оптимального (согласованного) линейного фильтра.</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Сигнал и шум на выходе оптимального фильтра.</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Выигрыш в отношении сигнал-шум при оптимальной линейной фильтрации.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видеоимпульсом (ФСОВИ).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одиночным прямоугольным радиоимпульсом (ФСОРИ).</w:t>
      </w:r>
    </w:p>
    <w:p>
      <w:pPr>
        <w:pStyle w:val="ListParagraph"/>
        <w:numPr>
          <w:ilvl w:val="0"/>
          <w:numId w:val="8"/>
        </w:numPr>
        <w:spacing w:lineRule="auto" w:line="240"/>
        <w:rPr>
          <w:rFonts w:ascii="Times New Roman" w:hAnsi="Times New Roman"/>
          <w:sz w:val="24"/>
          <w:szCs w:val="24"/>
        </w:rPr>
      </w:pPr>
      <w:r>
        <w:rPr>
          <w:rFonts w:ascii="Times New Roman" w:hAnsi="Times New Roman"/>
          <w:sz w:val="24"/>
          <w:szCs w:val="24"/>
        </w:rPr>
        <w:t>Синтез линейного фильтра, согласованного с ФКМ-импульсом</w:t>
      </w:r>
    </w:p>
    <w:p>
      <w:pPr>
        <w:pStyle w:val="Normal"/>
        <w:widowControl/>
        <w:spacing w:lineRule="auto" w:line="240"/>
        <w:ind w:left="1080" w:hanging="0"/>
        <w:jc w:val="center"/>
        <w:rPr>
          <w:rFonts w:ascii="Times New Roman" w:hAnsi="Times New Roman"/>
          <w:sz w:val="24"/>
          <w:szCs w:val="24"/>
          <w:u w:val="single"/>
        </w:rPr>
      </w:pPr>
      <w:r>
        <w:rPr>
          <w:rFonts w:ascii="Times New Roman" w:hAnsi="Times New Roman"/>
          <w:sz w:val="24"/>
          <w:szCs w:val="24"/>
          <w:u w:val="single"/>
        </w:rPr>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Раздел 2.4</w:t>
      </w:r>
    </w:p>
    <w:p>
      <w:pPr>
        <w:pStyle w:val="Normal"/>
        <w:widowControl/>
        <w:spacing w:lineRule="auto" w:line="240"/>
        <w:ind w:left="1080" w:hanging="0"/>
        <w:jc w:val="center"/>
        <w:rPr>
          <w:rFonts w:ascii="Times New Roman" w:hAnsi="Times New Roman"/>
          <w:sz w:val="24"/>
          <w:szCs w:val="24"/>
        </w:rPr>
      </w:pPr>
      <w:r>
        <w:rPr>
          <w:rFonts w:ascii="Times New Roman" w:hAnsi="Times New Roman"/>
          <w:sz w:val="24"/>
          <w:szCs w:val="24"/>
          <w:u w:val="single"/>
        </w:rPr>
        <w:t>Прохождение случайного сигнала через нелинейную РТЦ</w:t>
      </w:r>
    </w:p>
    <w:p>
      <w:pPr>
        <w:pStyle w:val="ListParagraph"/>
        <w:numPr>
          <w:ilvl w:val="0"/>
          <w:numId w:val="1"/>
        </w:numPr>
        <w:spacing w:lineRule="auto" w:line="240"/>
        <w:rPr>
          <w:rFonts w:ascii="Times New Roman" w:hAnsi="Times New Roman"/>
          <w:sz w:val="24"/>
          <w:szCs w:val="24"/>
        </w:rPr>
      </w:pPr>
      <w:r>
        <w:rPr>
          <w:rFonts w:ascii="Times New Roman" w:hAnsi="Times New Roman"/>
          <w:sz w:val="24"/>
          <w:szCs w:val="24"/>
        </w:rPr>
        <w:t>Постановка задачи.</w:t>
      </w:r>
    </w:p>
    <w:p>
      <w:pPr>
        <w:pStyle w:val="ListParagraph"/>
        <w:numPr>
          <w:ilvl w:val="0"/>
          <w:numId w:val="1"/>
        </w:numPr>
        <w:spacing w:lineRule="auto" w:line="240"/>
        <w:rPr>
          <w:rFonts w:ascii="Times New Roman" w:hAnsi="Times New Roman"/>
          <w:sz w:val="24"/>
          <w:szCs w:val="24"/>
        </w:rPr>
      </w:pPr>
      <w:r>
        <w:rPr>
          <w:rFonts w:ascii="Times New Roman" w:hAnsi="Times New Roman"/>
          <w:sz w:val="24"/>
          <w:szCs w:val="24"/>
        </w:rPr>
        <w:t>Преобразование одномерного закона распределения случайного сигнала нелинейным безинерционным элементом.</w:t>
      </w:r>
    </w:p>
    <w:p>
      <w:pPr>
        <w:pStyle w:val="ListParagraph"/>
        <w:numPr>
          <w:ilvl w:val="0"/>
          <w:numId w:val="1"/>
        </w:numPr>
        <w:spacing w:lineRule="auto" w:line="240"/>
        <w:rPr>
          <w:rFonts w:ascii="Times New Roman" w:hAnsi="Times New Roman"/>
          <w:sz w:val="24"/>
          <w:szCs w:val="24"/>
        </w:rPr>
      </w:pPr>
      <w:r>
        <w:rPr>
          <w:rFonts w:ascii="Times New Roman" w:hAnsi="Times New Roman"/>
          <w:sz w:val="24"/>
          <w:szCs w:val="24"/>
        </w:rPr>
        <w:t>Прохождение узкополосного нормального шума через амплитудный детектор.</w:t>
      </w:r>
    </w:p>
    <w:p>
      <w:pPr>
        <w:pStyle w:val="ListParagraph"/>
        <w:numPr>
          <w:ilvl w:val="0"/>
          <w:numId w:val="1"/>
        </w:numPr>
        <w:spacing w:lineRule="auto" w:line="240" w:before="0" w:after="0"/>
        <w:ind w:firstLine="709"/>
        <w:jc w:val="both"/>
        <w:rPr/>
      </w:pPr>
      <w:r>
        <w:rPr>
          <w:rFonts w:cs="Times New Roman" w:ascii="Times New Roman" w:hAnsi="Times New Roman"/>
          <w:b w:val="false"/>
          <w:bCs w:val="false"/>
          <w:sz w:val="24"/>
          <w:szCs w:val="24"/>
        </w:rPr>
        <w:t>Отношение сигнал-шум на выходе амплитудного детектора.</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76"/>
        <w:rPr>
          <w:rFonts w:ascii="Times New Roman" w:hAnsi="Times New Roman" w:cs="Times New Roman"/>
          <w:b/>
          <w:b/>
          <w:sz w:val="24"/>
          <w:szCs w:val="24"/>
        </w:rPr>
      </w:pPr>
      <w:r>
        <w:rPr>
          <w:rFonts w:cs="Times New Roman" w:ascii="Times New Roman" w:hAnsi="Times New Roman"/>
          <w:b/>
          <w:sz w:val="24"/>
          <w:szCs w:val="24"/>
        </w:rPr>
      </w:r>
      <w:r>
        <w:br w:type="page"/>
      </w:r>
    </w:p>
    <w:p>
      <w:pPr>
        <w:pStyle w:val="Normal"/>
        <w:spacing w:lineRule="auto" w:line="276" w:before="0" w:after="0"/>
        <w:ind w:firstLine="709"/>
        <w:jc w:val="both"/>
        <w:rPr>
          <w:rFonts w:ascii="Times New Roman" w:hAnsi="Times New Roman" w:cs="Times New Roman"/>
          <w:b/>
          <w:b/>
          <w:sz w:val="24"/>
          <w:szCs w:val="24"/>
        </w:rPr>
      </w:pPr>
      <w:r>
        <w:rPr>
          <w:rFonts w:cs="Times New Roman" w:ascii="Times New Roman" w:hAnsi="Times New Roman"/>
          <w:b/>
          <w:sz w:val="24"/>
          <w:szCs w:val="24"/>
        </w:rPr>
        <w:t>Библиографический список</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1. Радиотехнические цепи и сигналы: Методические указания к лабораторным работам по дисциплине «Радиотехнические цепи и сигналы» ч.1 / Рязан. гос. радиотехническая акад.; Под ред. Филимонова Б. И. Рязань. 2010 (инв. № 4362).</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2. Радиотехнические цепи и сигналы: Методические указания к лабораторным работам по дисциплине «Радиотехнические цепи и сигналы» ч.2 / Рязан. гос. радиотехническая акад.; Под ред. Филимонова Б. И. Рязань.2010 (инв. № 4363).</w:t>
      </w:r>
    </w:p>
    <w:p>
      <w:pPr>
        <w:pStyle w:val="Normal"/>
        <w:spacing w:lineRule="auto" w:line="276" w:before="0" w:after="0"/>
        <w:ind w:firstLine="709"/>
        <w:jc w:val="both"/>
        <w:rPr>
          <w:rFonts w:ascii="Times New Roman" w:hAnsi="Times New Roman" w:cs="Times New Roman"/>
          <w:sz w:val="24"/>
          <w:szCs w:val="24"/>
        </w:rPr>
      </w:pPr>
      <w:r>
        <w:rPr>
          <w:rFonts w:cs="Times New Roman" w:ascii="Times New Roman" w:hAnsi="Times New Roman"/>
          <w:sz w:val="24"/>
          <w:szCs w:val="24"/>
        </w:rPr>
        <w:t>3. Радиотехнические цепи и сигналы: Методические указания к курсовой работе по дисциплине «Радиотехнические цепи и сигналы», Рязан. гос. радиотехническая акад.; Под</w:t>
      </w:r>
    </w:p>
    <w:p>
      <w:pPr>
        <w:pStyle w:val="Normal"/>
        <w:spacing w:lineRule="auto" w:line="276" w:before="0" w:after="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ред. Филимонова Б. И. Рязань.2010 (инв. № 4358). </w:t>
      </w:r>
    </w:p>
    <w:sectPr>
      <w:footerReference w:type="default" r:id="rId2"/>
      <w:type w:val="nextPage"/>
      <w:pgSz w:w="11906" w:h="16838"/>
      <w:pgMar w:left="1701" w:right="850" w:header="0" w:top="1134"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22795810"/>
    </w:sdtPr>
    <w:sdtContent>
      <w:p>
        <w:pPr>
          <w:pStyle w:val="Style24"/>
          <w:jc w:val="center"/>
          <w:rPr/>
        </w:pPr>
        <w:r>
          <w:rPr/>
          <w:fldChar w:fldCharType="begin"/>
        </w:r>
        <w:r>
          <w:rPr/>
          <w:instrText> PAGE </w:instrText>
        </w:r>
        <w:r>
          <w:rPr/>
          <w:fldChar w:fldCharType="separate"/>
        </w:r>
        <w:r>
          <w:rPr/>
          <w:t>16</w:t>
        </w:r>
        <w:r>
          <w:rPr/>
          <w:fldChar w:fldCharType="end"/>
        </w:r>
      </w:p>
    </w:sdtContent>
  </w:sdt>
  <w:p>
    <w:pPr>
      <w:pStyle w:val="Style24"/>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1120" w:hanging="360"/>
      </w:p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2">
    <w:lvl w:ilvl="0">
      <w:start w:val="1"/>
      <w:numFmt w:val="decimal"/>
      <w:lvlText w:val="%1."/>
      <w:lvlJc w:val="left"/>
      <w:pPr>
        <w:tabs>
          <w:tab w:val="num" w:pos="0"/>
        </w:tabs>
        <w:ind w:left="1120" w:hanging="360"/>
      </w:p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lvl w:ilvl="0">
      <w:start w:val="1"/>
      <w:numFmt w:val="decimal"/>
      <w:lvlText w:val="%1."/>
      <w:lvlJc w:val="left"/>
      <w:pPr>
        <w:tabs>
          <w:tab w:val="num" w:pos="0"/>
        </w:tabs>
        <w:ind w:left="1080" w:hanging="360"/>
      </w:pPr>
      <w:rPr>
        <w:sz w:val="28"/>
        <w:szCs w:val="28"/>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lvl w:ilvl="0">
      <w:start w:val="1"/>
      <w:numFmt w:val="decimal"/>
      <w:lvlText w:val="%1."/>
      <w:lvlJc w:val="left"/>
      <w:pPr>
        <w:tabs>
          <w:tab w:val="num" w:pos="0"/>
        </w:tabs>
        <w:ind w:left="107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lvl w:ilvl="0">
      <w:start w:val="1"/>
      <w:numFmt w:val="decimal"/>
      <w:lvlText w:val="%1."/>
      <w:lvlJc w:val="left"/>
      <w:pPr>
        <w:tabs>
          <w:tab w:val="num" w:pos="0"/>
        </w:tabs>
        <w:ind w:left="1480" w:hanging="360"/>
      </w:pPr>
    </w:lvl>
    <w:lvl w:ilvl="1">
      <w:start w:val="1"/>
      <w:numFmt w:val="lowerLetter"/>
      <w:lvlText w:val="%2."/>
      <w:lvlJc w:val="left"/>
      <w:pPr>
        <w:tabs>
          <w:tab w:val="num" w:pos="0"/>
        </w:tabs>
        <w:ind w:left="2200" w:hanging="360"/>
      </w:pPr>
    </w:lvl>
    <w:lvl w:ilvl="2">
      <w:start w:val="1"/>
      <w:numFmt w:val="lowerRoman"/>
      <w:lvlText w:val="%3."/>
      <w:lvlJc w:val="right"/>
      <w:pPr>
        <w:tabs>
          <w:tab w:val="num" w:pos="0"/>
        </w:tabs>
        <w:ind w:left="2920" w:hanging="180"/>
      </w:pPr>
    </w:lvl>
    <w:lvl w:ilvl="3">
      <w:start w:val="1"/>
      <w:numFmt w:val="decimal"/>
      <w:lvlText w:val="%4."/>
      <w:lvlJc w:val="left"/>
      <w:pPr>
        <w:tabs>
          <w:tab w:val="num" w:pos="0"/>
        </w:tabs>
        <w:ind w:left="3640" w:hanging="360"/>
      </w:pPr>
    </w:lvl>
    <w:lvl w:ilvl="4">
      <w:start w:val="1"/>
      <w:numFmt w:val="lowerLetter"/>
      <w:lvlText w:val="%5."/>
      <w:lvlJc w:val="left"/>
      <w:pPr>
        <w:tabs>
          <w:tab w:val="num" w:pos="0"/>
        </w:tabs>
        <w:ind w:left="4360" w:hanging="360"/>
      </w:pPr>
    </w:lvl>
    <w:lvl w:ilvl="5">
      <w:start w:val="1"/>
      <w:numFmt w:val="lowerRoman"/>
      <w:lvlText w:val="%6."/>
      <w:lvlJc w:val="right"/>
      <w:pPr>
        <w:tabs>
          <w:tab w:val="num" w:pos="0"/>
        </w:tabs>
        <w:ind w:left="5080" w:hanging="180"/>
      </w:pPr>
    </w:lvl>
    <w:lvl w:ilvl="6">
      <w:start w:val="1"/>
      <w:numFmt w:val="decimal"/>
      <w:lvlText w:val="%7."/>
      <w:lvlJc w:val="left"/>
      <w:pPr>
        <w:tabs>
          <w:tab w:val="num" w:pos="0"/>
        </w:tabs>
        <w:ind w:left="5800" w:hanging="360"/>
      </w:pPr>
    </w:lvl>
    <w:lvl w:ilvl="7">
      <w:start w:val="1"/>
      <w:numFmt w:val="lowerLetter"/>
      <w:lvlText w:val="%8."/>
      <w:lvlJc w:val="left"/>
      <w:pPr>
        <w:tabs>
          <w:tab w:val="num" w:pos="0"/>
        </w:tabs>
        <w:ind w:left="6520" w:hanging="360"/>
      </w:pPr>
    </w:lvl>
    <w:lvl w:ilvl="8">
      <w:start w:val="1"/>
      <w:numFmt w:val="lowerRoman"/>
      <w:lvlText w:val="%9."/>
      <w:lvlJc w:val="right"/>
      <w:pPr>
        <w:tabs>
          <w:tab w:val="num" w:pos="0"/>
        </w:tabs>
        <w:ind w:left="7240" w:hanging="180"/>
      </w:pPr>
    </w:lvl>
  </w:abstractNum>
  <w:abstractNum w:abstractNumId="8">
    <w:lvl w:ilvl="0">
      <w:start w:val="1"/>
      <w:numFmt w:val="decimal"/>
      <w:lvlText w:val="%1."/>
      <w:lvlJc w:val="left"/>
      <w:pPr>
        <w:tabs>
          <w:tab w:val="num" w:pos="0"/>
        </w:tabs>
        <w:ind w:left="1120" w:hanging="360"/>
      </w:pPr>
    </w:lvl>
    <w:lvl w:ilvl="1">
      <w:start w:val="1"/>
      <w:numFmt w:val="lowerLetter"/>
      <w:lvlText w:val="%2."/>
      <w:lvlJc w:val="left"/>
      <w:pPr>
        <w:tabs>
          <w:tab w:val="num" w:pos="0"/>
        </w:tabs>
        <w:ind w:left="1840" w:hanging="360"/>
      </w:pPr>
    </w:lvl>
    <w:lvl w:ilvl="2">
      <w:start w:val="1"/>
      <w:numFmt w:val="lowerRoman"/>
      <w:lvlText w:val="%3."/>
      <w:lvlJc w:val="right"/>
      <w:pPr>
        <w:tabs>
          <w:tab w:val="num" w:pos="0"/>
        </w:tabs>
        <w:ind w:left="2560" w:hanging="180"/>
      </w:pPr>
    </w:lvl>
    <w:lvl w:ilvl="3">
      <w:start w:val="1"/>
      <w:numFmt w:val="decimal"/>
      <w:lvlText w:val="%4."/>
      <w:lvlJc w:val="left"/>
      <w:pPr>
        <w:tabs>
          <w:tab w:val="num" w:pos="0"/>
        </w:tabs>
        <w:ind w:left="3280" w:hanging="360"/>
      </w:pPr>
    </w:lvl>
    <w:lvl w:ilvl="4">
      <w:start w:val="1"/>
      <w:numFmt w:val="lowerLetter"/>
      <w:lvlText w:val="%5."/>
      <w:lvlJc w:val="left"/>
      <w:pPr>
        <w:tabs>
          <w:tab w:val="num" w:pos="0"/>
        </w:tabs>
        <w:ind w:left="4000" w:hanging="360"/>
      </w:pPr>
    </w:lvl>
    <w:lvl w:ilvl="5">
      <w:start w:val="1"/>
      <w:numFmt w:val="lowerRoman"/>
      <w:lvlText w:val="%6."/>
      <w:lvlJc w:val="right"/>
      <w:pPr>
        <w:tabs>
          <w:tab w:val="num" w:pos="0"/>
        </w:tabs>
        <w:ind w:left="4720" w:hanging="180"/>
      </w:pPr>
    </w:lvl>
    <w:lvl w:ilvl="6">
      <w:start w:val="1"/>
      <w:numFmt w:val="decimal"/>
      <w:lvlText w:val="%7."/>
      <w:lvlJc w:val="left"/>
      <w:pPr>
        <w:tabs>
          <w:tab w:val="num" w:pos="0"/>
        </w:tabs>
        <w:ind w:left="5440" w:hanging="360"/>
      </w:pPr>
    </w:lvl>
    <w:lvl w:ilvl="7">
      <w:start w:val="1"/>
      <w:numFmt w:val="lowerLetter"/>
      <w:lvlText w:val="%8."/>
      <w:lvlJc w:val="left"/>
      <w:pPr>
        <w:tabs>
          <w:tab w:val="num" w:pos="0"/>
        </w:tabs>
        <w:ind w:left="6160" w:hanging="360"/>
      </w:pPr>
    </w:lvl>
    <w:lvl w:ilvl="8">
      <w:start w:val="1"/>
      <w:numFmt w:val="lowerRoman"/>
      <w:lvlText w:val="%9."/>
      <w:lvlJc w:val="right"/>
      <w:pPr>
        <w:tabs>
          <w:tab w:val="num" w:pos="0"/>
        </w:tabs>
        <w:ind w:left="688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0"/>
  <w:defaultTabStop w:val="142"/>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9ce"/>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39756d"/>
    <w:rPr/>
  </w:style>
  <w:style w:type="character" w:styleId="Style15" w:customStyle="1">
    <w:name w:val="Нижний колонтитул Знак"/>
    <w:basedOn w:val="DefaultParagraphFont"/>
    <w:link w:val="a5"/>
    <w:uiPriority w:val="99"/>
    <w:qFormat/>
    <w:rsid w:val="0039756d"/>
    <w:rPr/>
  </w:style>
  <w:style w:type="character" w:styleId="Style16">
    <w:name w:val="Интернет-ссылка"/>
    <w:basedOn w:val="DefaultParagraphFont"/>
    <w:uiPriority w:val="99"/>
    <w:unhideWhenUsed/>
    <w:rsid w:val="003711b6"/>
    <w:rPr>
      <w:color w:val="0563C1" w:themeColor="hyperlink"/>
      <w:u w:val="single"/>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39756d"/>
    <w:pPr>
      <w:tabs>
        <w:tab w:val="clear" w:pos="142"/>
        <w:tab w:val="center" w:pos="4677" w:leader="none"/>
        <w:tab w:val="right" w:pos="9355" w:leader="none"/>
      </w:tabs>
      <w:spacing w:lineRule="auto" w:line="240" w:before="0" w:after="0"/>
    </w:pPr>
    <w:rPr/>
  </w:style>
  <w:style w:type="paragraph" w:styleId="Style24">
    <w:name w:val="Footer"/>
    <w:basedOn w:val="Normal"/>
    <w:link w:val="a6"/>
    <w:uiPriority w:val="99"/>
    <w:unhideWhenUsed/>
    <w:rsid w:val="0039756d"/>
    <w:pPr>
      <w:tabs>
        <w:tab w:val="clear" w:pos="142"/>
        <w:tab w:val="center" w:pos="4677" w:leader="none"/>
        <w:tab w:val="right" w:pos="9355" w:leader="none"/>
      </w:tabs>
      <w:spacing w:lineRule="auto" w:line="240" w:before="0" w:after="0"/>
    </w:pPr>
    <w:rPr/>
  </w:style>
  <w:style w:type="paragraph" w:styleId="ListParagraph">
    <w:name w:val="List Paragraph"/>
    <w:basedOn w:val="Normal"/>
    <w:qFormat/>
    <w:pPr>
      <w:spacing w:before="0" w:after="0"/>
      <w:ind w:left="720" w:firstLine="76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297B68-A00A-4E72-8471-31870BD33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LibreOffice/6.4.7.2$Windows_X86_64 LibreOffice_project/639b8ac485750d5696d7590a72ef1b496725cfb5</Application>
  <Pages>16</Pages>
  <Words>4627</Words>
  <Characters>32751</Characters>
  <CharactersWithSpaces>37252</CharactersWithSpaces>
  <Paragraphs>260</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2021-11-02T14:06:00Z</dcterms:created>
  <dc:creator>Лидия</dc:creator>
  <dc:description/>
  <dc:language>ru-RU</dc:language>
  <cp:lastModifiedBy/>
  <dcterms:modified xsi:type="dcterms:W3CDTF">2021-11-18T18:01:30Z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