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О.0</w:t>
      </w:r>
      <w:r w:rsidR="00595C1E">
        <w:rPr>
          <w:b/>
          <w:bCs/>
          <w:i/>
          <w:iCs/>
          <w:sz w:val="40"/>
          <w:szCs w:val="40"/>
        </w:rPr>
        <w:t>5</w:t>
      </w:r>
      <w:r>
        <w:rPr>
          <w:b/>
          <w:bCs/>
          <w:i/>
          <w:iCs/>
          <w:sz w:val="40"/>
          <w:szCs w:val="40"/>
        </w:rPr>
        <w:t xml:space="preserve"> </w:t>
      </w:r>
      <w:r w:rsidR="00595C1E">
        <w:rPr>
          <w:b/>
          <w:bCs/>
          <w:color w:val="000000"/>
          <w:sz w:val="40"/>
          <w:szCs w:val="40"/>
        </w:rPr>
        <w:t>Реализация принципов всеобщего упра</w:t>
      </w:r>
      <w:r w:rsidR="00595C1E">
        <w:rPr>
          <w:b/>
          <w:bCs/>
          <w:color w:val="000000"/>
          <w:sz w:val="40"/>
          <w:szCs w:val="40"/>
        </w:rPr>
        <w:t>в</w:t>
      </w:r>
      <w:r w:rsidR="00595C1E">
        <w:rPr>
          <w:b/>
          <w:bCs/>
          <w:color w:val="000000"/>
          <w:sz w:val="40"/>
          <w:szCs w:val="40"/>
        </w:rPr>
        <w:t>ления качеством в деятельности по стандартизации и метрологии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A0B35" w:rsidRDefault="009A0B35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256BAE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D266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Концепция и философия всеобщего м</w:t>
            </w: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неджмента качества, на основе принципов Э. Деминга.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662" w:rsidRPr="004D2662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B36128" w:rsidRPr="002E634F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D266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Современные принципы управления качес</w:t>
            </w: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т</w:t>
            </w: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662" w:rsidRPr="004D2662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2E634F" w:rsidRPr="00C867FA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4D2662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Модели превосходной деятельности.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662" w:rsidRPr="004D2662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CB0A3F" w:rsidRPr="00C867FA" w:rsidRDefault="004D2662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662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</w:t>
      </w:r>
      <w:r w:rsidRPr="00851519">
        <w:rPr>
          <w:color w:val="000000"/>
          <w:sz w:val="28"/>
          <w:szCs w:val="28"/>
          <w:lang w:eastAsia="ru-RU"/>
        </w:rPr>
        <w:lastRenderedPageBreak/>
        <w:t>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4D2662" w:rsidRPr="004D2662">
        <w:rPr>
          <w:sz w:val="28"/>
          <w:szCs w:val="28"/>
        </w:rPr>
        <w:t>История развития (TQM). Сущность и понятие всеобщего управления к</w:t>
      </w:r>
      <w:r w:rsidR="004D2662" w:rsidRPr="004D2662">
        <w:rPr>
          <w:sz w:val="28"/>
          <w:szCs w:val="28"/>
        </w:rPr>
        <w:t>а</w:t>
      </w:r>
      <w:r w:rsidR="004D2662" w:rsidRPr="004D2662">
        <w:rPr>
          <w:sz w:val="28"/>
          <w:szCs w:val="28"/>
        </w:rPr>
        <w:t>чеством. Базовые принципы (TQM). Национальные особенности (TQM). Связь с критериями и философией стандартов ИСО 9000 и ИСО 14000. Интеграция задач обеспечения качества с задачами бизнеса и интересами общества (экол</w:t>
      </w:r>
      <w:r w:rsidR="004D2662" w:rsidRPr="004D2662">
        <w:rPr>
          <w:sz w:val="28"/>
          <w:szCs w:val="28"/>
        </w:rPr>
        <w:t>о</w:t>
      </w:r>
      <w:r w:rsidR="004D2662" w:rsidRPr="004D2662">
        <w:rPr>
          <w:sz w:val="28"/>
          <w:szCs w:val="28"/>
        </w:rPr>
        <w:t xml:space="preserve">гия, безопасность).  </w:t>
      </w:r>
      <w:r w:rsidR="00AD2EE7" w:rsidRPr="00AD2EE7">
        <w:rPr>
          <w:sz w:val="28"/>
          <w:szCs w:val="28"/>
        </w:rPr>
        <w:t xml:space="preserve">  </w:t>
      </w:r>
      <w:r w:rsidR="00DC680E" w:rsidRPr="00DC680E">
        <w:rPr>
          <w:sz w:val="28"/>
          <w:szCs w:val="28"/>
        </w:rPr>
        <w:t xml:space="preserve">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4D2662" w:rsidRPr="004D2662">
        <w:rPr>
          <w:sz w:val="28"/>
          <w:szCs w:val="28"/>
        </w:rPr>
        <w:t>Признаки организаций, ориентированных на потребителя. Выявление з</w:t>
      </w:r>
      <w:r w:rsidR="004D2662" w:rsidRPr="004D2662">
        <w:rPr>
          <w:sz w:val="28"/>
          <w:szCs w:val="28"/>
        </w:rPr>
        <w:t>а</w:t>
      </w:r>
      <w:r w:rsidR="004D2662" w:rsidRPr="004D2662">
        <w:rPr>
          <w:sz w:val="28"/>
          <w:szCs w:val="28"/>
        </w:rPr>
        <w:t>просов и требований потребителя. Методы определения степени удовлетворе</w:t>
      </w:r>
      <w:r w:rsidR="004D2662" w:rsidRPr="004D2662">
        <w:rPr>
          <w:sz w:val="28"/>
          <w:szCs w:val="28"/>
        </w:rPr>
        <w:t>н</w:t>
      </w:r>
      <w:r w:rsidR="004D2662" w:rsidRPr="004D2662">
        <w:rPr>
          <w:sz w:val="28"/>
          <w:szCs w:val="28"/>
        </w:rPr>
        <w:t>ности потребителей (прямые, косвенные). Роль высшего руководства в системе качества (СМК) с точки зрения выделения необходимых ресурсов (с точки зр</w:t>
      </w:r>
      <w:r w:rsidR="004D2662" w:rsidRPr="004D2662">
        <w:rPr>
          <w:sz w:val="28"/>
          <w:szCs w:val="28"/>
        </w:rPr>
        <w:t>е</w:t>
      </w:r>
      <w:r w:rsidR="004D2662" w:rsidRPr="004D2662">
        <w:rPr>
          <w:sz w:val="28"/>
          <w:szCs w:val="28"/>
        </w:rPr>
        <w:t>ния мотивации персонала). Обеспечение необходимой производственной среды. Использование различных способов мотивации. Процессы как способ вовлеч</w:t>
      </w:r>
      <w:r w:rsidR="004D2662" w:rsidRPr="004D2662">
        <w:rPr>
          <w:sz w:val="28"/>
          <w:szCs w:val="28"/>
        </w:rPr>
        <w:t>е</w:t>
      </w:r>
      <w:r w:rsidR="004D2662" w:rsidRPr="004D2662">
        <w:rPr>
          <w:sz w:val="28"/>
          <w:szCs w:val="28"/>
        </w:rPr>
        <w:t>ния персонала в работу по повышению качества продукции. Реализация при</w:t>
      </w:r>
      <w:r w:rsidR="004D2662" w:rsidRPr="004D2662">
        <w:rPr>
          <w:sz w:val="28"/>
          <w:szCs w:val="28"/>
        </w:rPr>
        <w:t>н</w:t>
      </w:r>
      <w:r w:rsidR="004D2662" w:rsidRPr="004D2662">
        <w:rPr>
          <w:sz w:val="28"/>
          <w:szCs w:val="28"/>
        </w:rPr>
        <w:t>ципа постоянного улучшения. Методы решения проблем (метод мозгового ш</w:t>
      </w:r>
      <w:r w:rsidR="004D2662" w:rsidRPr="004D2662">
        <w:rPr>
          <w:sz w:val="28"/>
          <w:szCs w:val="28"/>
        </w:rPr>
        <w:t>у</w:t>
      </w:r>
      <w:r w:rsidR="004D2662" w:rsidRPr="004D2662">
        <w:rPr>
          <w:sz w:val="28"/>
          <w:szCs w:val="28"/>
        </w:rPr>
        <w:t>ма, причинно-следственная диаграмма, метод попарного сравнения). Механи</w:t>
      </w:r>
      <w:r w:rsidR="004D2662" w:rsidRPr="004D2662">
        <w:rPr>
          <w:sz w:val="28"/>
          <w:szCs w:val="28"/>
        </w:rPr>
        <w:t>з</w:t>
      </w:r>
      <w:r w:rsidR="004D2662" w:rsidRPr="004D2662">
        <w:rPr>
          <w:sz w:val="28"/>
          <w:szCs w:val="28"/>
        </w:rPr>
        <w:t>мы реализации процесса непрерывного улучшения (кружки качества, рацион</w:t>
      </w:r>
      <w:r w:rsidR="004D2662" w:rsidRPr="004D2662">
        <w:rPr>
          <w:sz w:val="28"/>
          <w:szCs w:val="28"/>
        </w:rPr>
        <w:t>а</w:t>
      </w:r>
      <w:r w:rsidR="004D2662" w:rsidRPr="004D2662">
        <w:rPr>
          <w:sz w:val="28"/>
          <w:szCs w:val="28"/>
        </w:rPr>
        <w:t>лизаторская деятельность, метод TPM). Основные преимущества применения принципа "Принятие решений, основанных на фактах". Методы, применяемые для систематизации данных, их анализа и принятия решений (контрольные ка</w:t>
      </w:r>
      <w:r w:rsidR="004D2662" w:rsidRPr="004D2662">
        <w:rPr>
          <w:sz w:val="28"/>
          <w:szCs w:val="28"/>
        </w:rPr>
        <w:t>р</w:t>
      </w:r>
      <w:r w:rsidR="004D2662" w:rsidRPr="004D2662">
        <w:rPr>
          <w:sz w:val="28"/>
          <w:szCs w:val="28"/>
        </w:rPr>
        <w:lastRenderedPageBreak/>
        <w:t>ты, контрольные листки, диаграмма Парето, гистограмма, корреляционный ан</w:t>
      </w:r>
      <w:r w:rsidR="004D2662" w:rsidRPr="004D2662">
        <w:rPr>
          <w:sz w:val="28"/>
          <w:szCs w:val="28"/>
        </w:rPr>
        <w:t>а</w:t>
      </w:r>
      <w:r w:rsidR="004D2662" w:rsidRPr="004D2662">
        <w:rPr>
          <w:sz w:val="28"/>
          <w:szCs w:val="28"/>
        </w:rPr>
        <w:t>лиз, причинно-следственная диаграмма, дисперсионный анализ, морфологич</w:t>
      </w:r>
      <w:r w:rsidR="004D2662" w:rsidRPr="004D2662">
        <w:rPr>
          <w:sz w:val="28"/>
          <w:szCs w:val="28"/>
        </w:rPr>
        <w:t>е</w:t>
      </w:r>
      <w:r w:rsidR="004D2662" w:rsidRPr="004D2662">
        <w:rPr>
          <w:sz w:val="28"/>
          <w:szCs w:val="28"/>
        </w:rPr>
        <w:t>ский анализ). Оценка и выбор поставщика. Требования стандарта ИСО 9001 по оценке и выбору поставщиков. Методы и критерии оценки поставщиков.</w:t>
      </w:r>
      <w:r w:rsidR="00985C5B" w:rsidRPr="00985C5B">
        <w:rPr>
          <w:sz w:val="28"/>
          <w:szCs w:val="28"/>
        </w:rPr>
        <w:t xml:space="preserve">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2662" w:rsidRPr="004D2662">
        <w:rPr>
          <w:sz w:val="28"/>
          <w:szCs w:val="28"/>
        </w:rPr>
        <w:t>Модели TQM. Использование самооценки для установления качества де</w:t>
      </w:r>
      <w:r w:rsidR="004D2662" w:rsidRPr="004D2662">
        <w:rPr>
          <w:sz w:val="28"/>
          <w:szCs w:val="28"/>
        </w:rPr>
        <w:t>я</w:t>
      </w:r>
      <w:r w:rsidR="004D2662" w:rsidRPr="004D2662">
        <w:rPr>
          <w:sz w:val="28"/>
          <w:szCs w:val="28"/>
        </w:rPr>
        <w:t>тельности, измерения и определение тенденций улучшения; описание критер</w:t>
      </w:r>
      <w:r w:rsidR="004D2662" w:rsidRPr="004D2662">
        <w:rPr>
          <w:sz w:val="28"/>
          <w:szCs w:val="28"/>
        </w:rPr>
        <w:t>и</w:t>
      </w:r>
      <w:r w:rsidR="004D2662" w:rsidRPr="004D2662">
        <w:rPr>
          <w:sz w:val="28"/>
          <w:szCs w:val="28"/>
        </w:rPr>
        <w:t xml:space="preserve">ев улучшения и способы их использования. Модель </w:t>
      </w:r>
      <w:proofErr w:type="spellStart"/>
      <w:r w:rsidR="004D2662" w:rsidRPr="004D2662">
        <w:rPr>
          <w:sz w:val="28"/>
          <w:szCs w:val="28"/>
        </w:rPr>
        <w:t>Business</w:t>
      </w:r>
      <w:proofErr w:type="spellEnd"/>
      <w:r w:rsidR="004D2662">
        <w:rPr>
          <w:sz w:val="28"/>
          <w:szCs w:val="28"/>
        </w:rPr>
        <w:t xml:space="preserve"> </w:t>
      </w:r>
      <w:proofErr w:type="spellStart"/>
      <w:r w:rsidR="004D2662" w:rsidRPr="004D2662">
        <w:rPr>
          <w:sz w:val="28"/>
          <w:szCs w:val="28"/>
        </w:rPr>
        <w:t>Excellence</w:t>
      </w:r>
      <w:proofErr w:type="spellEnd"/>
      <w:r w:rsidR="004D2662" w:rsidRPr="004D2662">
        <w:rPr>
          <w:sz w:val="28"/>
          <w:szCs w:val="28"/>
        </w:rPr>
        <w:t xml:space="preserve"> для о</w:t>
      </w:r>
      <w:r w:rsidR="004D2662" w:rsidRPr="004D2662">
        <w:rPr>
          <w:sz w:val="28"/>
          <w:szCs w:val="28"/>
        </w:rPr>
        <w:t>р</w:t>
      </w:r>
      <w:r w:rsidR="004D2662" w:rsidRPr="004D2662">
        <w:rPr>
          <w:sz w:val="28"/>
          <w:szCs w:val="28"/>
        </w:rPr>
        <w:t>ганизации предприятия; ее использование в деятельности организации. Росси</w:t>
      </w:r>
      <w:r w:rsidR="004D2662" w:rsidRPr="004D2662">
        <w:rPr>
          <w:sz w:val="28"/>
          <w:szCs w:val="28"/>
        </w:rPr>
        <w:t>й</w:t>
      </w:r>
      <w:r w:rsidR="004D2662" w:rsidRPr="004D2662">
        <w:rPr>
          <w:sz w:val="28"/>
          <w:szCs w:val="28"/>
        </w:rPr>
        <w:t>ская, европейская и другие премии по качеству. Интегрированные системы м</w:t>
      </w:r>
      <w:r w:rsidR="004D2662" w:rsidRPr="004D2662">
        <w:rPr>
          <w:sz w:val="28"/>
          <w:szCs w:val="28"/>
        </w:rPr>
        <w:t>е</w:t>
      </w:r>
      <w:r w:rsidR="004D2662" w:rsidRPr="004D2662">
        <w:rPr>
          <w:sz w:val="28"/>
          <w:szCs w:val="28"/>
        </w:rPr>
        <w:t>неджмента. Модель системы экологического менеджмента согласно стандарту ИСО 14001. Основные требования и положения стандарта ИСО 14001. Модель системы управления профессиональной безопасностью и здоровьем согласно стандарту OHSAS 18001. Основные положения и требования стандарта    OHSAS 18001. Основные положения отраслевых стандартов ИСО 22000, GMP.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GoBack"/>
      <w:bookmarkEnd w:id="0"/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DD" w:rsidRDefault="00825EDD" w:rsidP="0013300F">
      <w:pPr>
        <w:spacing w:line="240" w:lineRule="auto"/>
      </w:pPr>
      <w:r>
        <w:separator/>
      </w:r>
    </w:p>
  </w:endnote>
  <w:endnote w:type="continuationSeparator" w:id="0">
    <w:p w:rsidR="00825EDD" w:rsidRDefault="00825ED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22ED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256BAE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DD" w:rsidRDefault="00825EDD" w:rsidP="0013300F">
      <w:pPr>
        <w:spacing w:line="240" w:lineRule="auto"/>
      </w:pPr>
      <w:r>
        <w:separator/>
      </w:r>
    </w:p>
  </w:footnote>
  <w:footnote w:type="continuationSeparator" w:id="0">
    <w:p w:rsidR="00825EDD" w:rsidRDefault="00825ED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6BAE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25EDD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C4218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EDF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2021-12-04T12:51:00Z</dcterms:created>
  <dcterms:modified xsi:type="dcterms:W3CDTF">2023-07-28T09:38:00Z</dcterms:modified>
</cp:coreProperties>
</file>