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b/>
          <w:sz w:val="28"/>
          <w:szCs w:val="28"/>
        </w:rPr>
        <w:t xml:space="preserve"> </w:t>
      </w:r>
      <w:r>
        <w:rPr>
          <w:rStyle w:val="1"/>
          <w:color w:val="000000"/>
          <w:sz w:val="28"/>
          <w:szCs w:val="28"/>
        </w:rPr>
        <w:t>«Основы о</w:t>
      </w:r>
      <w:r>
        <w:rPr>
          <w:b/>
          <w:sz w:val="28"/>
          <w:szCs w:val="28"/>
        </w:rPr>
        <w:t>бъектно-ориентированного программирования</w:t>
      </w: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4668A4" w:rsidP="00D46FA8">
      <w:pPr>
        <w:pStyle w:val="a3"/>
        <w:widowControl w:val="0"/>
        <w:jc w:val="center"/>
        <w:rPr>
          <w:rStyle w:val="1"/>
          <w:color w:val="000000"/>
          <w:sz w:val="28"/>
          <w:szCs w:val="28"/>
        </w:rPr>
      </w:pPr>
      <w:r>
        <w:rPr>
          <w:rStyle w:val="1"/>
          <w:color w:val="000000"/>
          <w:sz w:val="28"/>
          <w:szCs w:val="28"/>
        </w:rPr>
        <w:t>Специальность</w:t>
      </w:r>
      <w:r w:rsidR="00D46FA8">
        <w:rPr>
          <w:rStyle w:val="1"/>
          <w:color w:val="000000"/>
          <w:sz w:val="28"/>
          <w:szCs w:val="28"/>
        </w:rPr>
        <w:t xml:space="preserve"> </w:t>
      </w:r>
    </w:p>
    <w:p w:rsidR="00D46FA8" w:rsidRDefault="004668A4" w:rsidP="00466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15.05</w:t>
      </w:r>
      <w:r w:rsidR="00D46FA8">
        <w:rPr>
          <w:rFonts w:ascii="Times New Roman" w:hAnsi="Times New Roman"/>
          <w:b/>
          <w:color w:val="000000"/>
          <w:sz w:val="24"/>
          <w:szCs w:val="24"/>
        </w:rPr>
        <w:t>.0</w:t>
      </w:r>
      <w:r>
        <w:rPr>
          <w:rFonts w:ascii="Times New Roman" w:hAnsi="Times New Roman"/>
          <w:b/>
          <w:color w:val="000000"/>
          <w:sz w:val="24"/>
          <w:szCs w:val="24"/>
        </w:rPr>
        <w:t>1</w:t>
      </w:r>
      <w:r w:rsidR="00D46FA8">
        <w:rPr>
          <w:rFonts w:ascii="Times New Roman" w:hAnsi="Times New Roman"/>
          <w:b/>
          <w:color w:val="000000"/>
          <w:sz w:val="24"/>
          <w:szCs w:val="24"/>
        </w:rPr>
        <w:t xml:space="preserve"> «</w:t>
      </w:r>
      <w:r>
        <w:rPr>
          <w:rFonts w:ascii="Times New Roman" w:hAnsi="Times New Roman"/>
          <w:b/>
          <w:color w:val="000000"/>
          <w:sz w:val="24"/>
          <w:szCs w:val="24"/>
        </w:rPr>
        <w:t>ПРОЕКТИРОВАНИЕ ТЕХНОЛОГИЧЕСКИХ МАШИН И КОМПЛЕКСОВ</w:t>
      </w:r>
      <w:r w:rsidR="00D46FA8">
        <w:rPr>
          <w:rFonts w:ascii="Times New Roman" w:hAnsi="Times New Roman"/>
          <w:b/>
          <w:color w:val="000000"/>
          <w:sz w:val="24"/>
          <w:szCs w:val="24"/>
        </w:rPr>
        <w:t>»</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4668A4">
        <w:rPr>
          <w:rStyle w:val="1"/>
          <w:color w:val="000000"/>
          <w:sz w:val="28"/>
          <w:szCs w:val="28"/>
        </w:rPr>
        <w:t>ИНЖЕНЕР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Рязань 2022</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4668A4" w:rsidRDefault="004668A4"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507"/>
    <w:rsid w:val="00054496"/>
    <w:rsid w:val="004668A4"/>
    <w:rsid w:val="006D3507"/>
    <w:rsid w:val="00707A42"/>
    <w:rsid w:val="008C3BB5"/>
    <w:rsid w:val="00981220"/>
    <w:rsid w:val="009B755E"/>
    <w:rsid w:val="00D46FA8"/>
    <w:rsid w:val="00D51D11"/>
    <w:rsid w:val="00D80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3638</Words>
  <Characters>20740</Characters>
  <Application>Microsoft Office Word</Application>
  <DocSecurity>0</DocSecurity>
  <Lines>172</Lines>
  <Paragraphs>48</Paragraphs>
  <ScaleCrop>false</ScaleCrop>
  <Company/>
  <LinksUpToDate>false</LinksUpToDate>
  <CharactersWithSpaces>24330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AITP-N5</cp:lastModifiedBy>
  <cp:revision>6</cp:revision>
  <dcterms:created xsi:type="dcterms:W3CDTF">2021-07-02T12:58:00Z</dcterms:created>
  <dcterms:modified xsi:type="dcterms:W3CDTF">2022-10-26T12:11:00Z</dcterms:modified>
</cp:coreProperties>
</file>