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kern w:val="2"/>
          <w:sz w:val="28"/>
          <w:szCs w:val="28"/>
        </w:rPr>
        <w:t>Б</w:t>
      </w:r>
      <w:proofErr w:type="gramStart"/>
      <w:r w:rsidRPr="005B5DE1">
        <w:rPr>
          <w:b/>
          <w:kern w:val="2"/>
          <w:sz w:val="28"/>
          <w:szCs w:val="28"/>
        </w:rPr>
        <w:t>1</w:t>
      </w:r>
      <w:proofErr w:type="gramEnd"/>
      <w:r w:rsidRPr="005B5DE1">
        <w:rPr>
          <w:b/>
          <w:kern w:val="2"/>
          <w:sz w:val="28"/>
          <w:szCs w:val="28"/>
        </w:rPr>
        <w:t>.О.04</w:t>
      </w:r>
      <w:r w:rsidRPr="005B5DE1">
        <w:rPr>
          <w:b/>
          <w:kern w:val="2"/>
        </w:rPr>
        <w:t xml:space="preserve"> </w:t>
      </w:r>
      <w:r w:rsidRPr="005B5DE1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Направление подготовки</w:t>
      </w:r>
    </w:p>
    <w:p w:rsidR="00B02894" w:rsidRPr="00C639AC" w:rsidRDefault="005B5DE1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02</w:t>
      </w:r>
      <w:r>
        <w:rPr>
          <w:rFonts w:cs="Calibri"/>
          <w:sz w:val="28"/>
          <w:szCs w:val="28"/>
        </w:rPr>
        <w:t>.03.0</w:t>
      </w:r>
      <w:r w:rsidR="00D87A48" w:rsidRPr="00D87A48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 xml:space="preserve"> </w:t>
      </w:r>
      <w:r w:rsidR="00D87A48">
        <w:rPr>
          <w:rFonts w:cs="Calibri"/>
          <w:sz w:val="28"/>
          <w:szCs w:val="28"/>
        </w:rPr>
        <w:t>Фундаментальная информатика и информационные технологии</w:t>
      </w:r>
    </w:p>
    <w:p w:rsidR="00D87A48" w:rsidRDefault="00D87A48" w:rsidP="00B028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B5DE1">
        <w:rPr>
          <w:sz w:val="28"/>
          <w:szCs w:val="28"/>
          <w:lang w:eastAsia="ru-RU"/>
        </w:rPr>
        <w:t>Направленность (профиль) подготовки</w:t>
      </w:r>
    </w:p>
    <w:p w:rsidR="00D87A48" w:rsidRPr="00D87A48" w:rsidRDefault="00D87A48" w:rsidP="00D87A48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Фундаментальная информатика и информационные технологии</w:t>
      </w:r>
    </w:p>
    <w:p w:rsidR="00D87A48" w:rsidRDefault="00D87A48" w:rsidP="00D87A4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87A48" w:rsidRPr="00D87A48" w:rsidRDefault="00D87A48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5B5DE1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B4633A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 xml:space="preserve">Форма обучения – </w:t>
      </w:r>
      <w:r w:rsidR="00D87A48">
        <w:rPr>
          <w:rFonts w:cs="Calibri"/>
          <w:sz w:val="28"/>
          <w:szCs w:val="28"/>
        </w:rPr>
        <w:t>очная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095474">
        <w:rPr>
          <w:sz w:val="28"/>
          <w:szCs w:val="28"/>
          <w:lang w:eastAsia="ru-RU"/>
        </w:rPr>
        <w:t>2</w:t>
      </w:r>
      <w:bookmarkStart w:id="0" w:name="_GoBack"/>
      <w:bookmarkEnd w:id="0"/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d"/>
        <w:spacing w:line="240" w:lineRule="auto"/>
        <w:jc w:val="center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22777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22777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a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a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422777">
        <w:rPr>
          <w:sz w:val="22"/>
          <w:szCs w:val="22"/>
        </w:rPr>
        <w:t>Сформированность</w:t>
      </w:r>
      <w:proofErr w:type="spellEnd"/>
      <w:r w:rsidRPr="00422777">
        <w:rPr>
          <w:sz w:val="22"/>
          <w:szCs w:val="22"/>
        </w:rPr>
        <w:t xml:space="preserve">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22777">
        <w:rPr>
          <w:sz w:val="22"/>
          <w:szCs w:val="22"/>
        </w:rPr>
        <w:t>сформированности</w:t>
      </w:r>
      <w:proofErr w:type="spellEnd"/>
      <w:r w:rsidRPr="00422777">
        <w:rPr>
          <w:sz w:val="22"/>
          <w:szCs w:val="22"/>
        </w:rPr>
        <w:t xml:space="preserve">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d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proofErr w:type="gramStart"/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422777">
        <w:rPr>
          <w:b/>
          <w:sz w:val="22"/>
          <w:szCs w:val="22"/>
        </w:rPr>
        <w:t> </w:t>
      </w:r>
      <w:r w:rsidRPr="00422777">
        <w:rPr>
          <w:b/>
          <w:i/>
          <w:sz w:val="22"/>
          <w:szCs w:val="22"/>
        </w:rPr>
        <w:t>°С</w:t>
      </w:r>
      <w:proofErr w:type="gramEnd"/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422777">
        <w:rPr>
          <w:sz w:val="22"/>
          <w:szCs w:val="22"/>
        </w:rPr>
        <w:t> </w:t>
      </w:r>
      <w:r w:rsidRPr="00422777">
        <w:rPr>
          <w:i/>
          <w:sz w:val="22"/>
          <w:szCs w:val="22"/>
        </w:rPr>
        <w:t>°С</w:t>
      </w:r>
      <w:proofErr w:type="gramEnd"/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proofErr w:type="gramStart"/>
      <w:r w:rsidRPr="00422777">
        <w:rPr>
          <w:sz w:val="22"/>
          <w:szCs w:val="22"/>
        </w:rPr>
        <w:t>которая</w:t>
      </w:r>
      <w:proofErr w:type="gramEnd"/>
      <w:r w:rsidRPr="00422777">
        <w:rPr>
          <w:sz w:val="22"/>
          <w:szCs w:val="22"/>
        </w:rPr>
        <w:t xml:space="preserve">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при </w:t>
      </w:r>
      <w:proofErr w:type="gramStart"/>
      <w:r w:rsidRPr="00422777">
        <w:rPr>
          <w:sz w:val="22"/>
          <w:szCs w:val="22"/>
        </w:rPr>
        <w:t>которой</w:t>
      </w:r>
      <w:proofErr w:type="gramEnd"/>
      <w:r w:rsidRPr="00422777">
        <w:rPr>
          <w:sz w:val="22"/>
          <w:szCs w:val="22"/>
        </w:rPr>
        <w:t xml:space="preserve">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</w:t>
      </w:r>
      <w:proofErr w:type="gramStart"/>
      <w:r w:rsidRPr="00422777">
        <w:rPr>
          <w:b/>
          <w:sz w:val="22"/>
          <w:szCs w:val="22"/>
        </w:rPr>
        <w:t>при</w:t>
      </w:r>
      <w:proofErr w:type="gramEnd"/>
      <w:r w:rsidRPr="00422777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proofErr w:type="gramStart"/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</w:t>
      </w:r>
      <w:proofErr w:type="gramStart"/>
      <w:r w:rsidR="00423832" w:rsidRPr="00422777">
        <w:rPr>
          <w:color w:val="000000"/>
          <w:sz w:val="22"/>
          <w:szCs w:val="22"/>
        </w:rPr>
        <w:t>.</w:t>
      </w:r>
      <w:proofErr w:type="gramEnd"/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proofErr w:type="gramStart"/>
      <w:r w:rsidR="00423832" w:rsidRPr="00422777">
        <w:rPr>
          <w:b/>
          <w:color w:val="000000"/>
          <w:sz w:val="22"/>
          <w:szCs w:val="22"/>
        </w:rPr>
        <w:t>а</w:t>
      </w:r>
      <w:proofErr w:type="gramEnd"/>
      <w:r w:rsidR="00423832" w:rsidRPr="00422777">
        <w:rPr>
          <w:b/>
          <w:color w:val="000000"/>
          <w:sz w:val="22"/>
          <w:szCs w:val="22"/>
        </w:rPr>
        <w:t>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CA69D4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r w:rsidR="004404CF">
        <w:rPr>
          <w:bCs/>
          <w:color w:val="000000"/>
          <w:spacing w:val="-2"/>
          <w:sz w:val="22"/>
          <w:szCs w:val="22"/>
        </w:rPr>
        <w:t xml:space="preserve"> </w:t>
      </w:r>
      <w:r w:rsidR="00ED7FF8" w:rsidRPr="00422777">
        <w:rPr>
          <w:color w:val="000000"/>
          <w:sz w:val="22"/>
          <w:szCs w:val="22"/>
        </w:rPr>
        <w:t>(</w:t>
      </w:r>
      <w:r w:rsidR="00ED7FF8" w:rsidRPr="00422777">
        <w:rPr>
          <w:b/>
          <w:color w:val="000000"/>
          <w:sz w:val="22"/>
          <w:szCs w:val="22"/>
        </w:rPr>
        <w:t>Природные</w:t>
      </w:r>
      <w:r w:rsidR="00ED7FF8" w:rsidRPr="00422777">
        <w:rPr>
          <w:color w:val="000000"/>
          <w:sz w:val="22"/>
          <w:szCs w:val="22"/>
        </w:rPr>
        <w:t xml:space="preserve">) </w:t>
      </w:r>
      <w:proofErr w:type="gramEnd"/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>вредных</w:t>
      </w:r>
      <w:proofErr w:type="gramEnd"/>
      <w:r w:rsidRPr="00422777">
        <w:rPr>
          <w:bCs/>
          <w:color w:val="000000"/>
          <w:spacing w:val="-2"/>
          <w:sz w:val="22"/>
          <w:szCs w:val="22"/>
        </w:rPr>
        <w:t>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422777">
        <w:rPr>
          <w:color w:val="231F20"/>
          <w:sz w:val="22"/>
          <w:szCs w:val="22"/>
        </w:rPr>
        <w:t xml:space="preserve">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="00A64020" w:rsidRPr="00422777">
        <w:rPr>
          <w:bCs/>
          <w:iCs/>
          <w:color w:val="231F20"/>
          <w:sz w:val="22"/>
          <w:szCs w:val="22"/>
        </w:rPr>
        <w:t>ВиОФ</w:t>
      </w:r>
      <w:proofErr w:type="spellEnd"/>
      <w:r w:rsidR="00A64020" w:rsidRPr="00422777">
        <w:rPr>
          <w:bCs/>
          <w:iCs/>
          <w:color w:val="231F20"/>
          <w:sz w:val="22"/>
          <w:szCs w:val="22"/>
        </w:rPr>
        <w:t>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 xml:space="preserve">ния и измерения </w:t>
      </w:r>
      <w:proofErr w:type="spellStart"/>
      <w:r w:rsidR="00A64020" w:rsidRPr="00422777">
        <w:rPr>
          <w:color w:val="231F20"/>
          <w:sz w:val="22"/>
          <w:szCs w:val="22"/>
        </w:rPr>
        <w:t>ВиОФ</w:t>
      </w:r>
      <w:proofErr w:type="spellEnd"/>
      <w:r w:rsidR="00A64020" w:rsidRPr="00422777">
        <w:rPr>
          <w:color w:val="231F20"/>
          <w:sz w:val="22"/>
          <w:szCs w:val="22"/>
        </w:rPr>
        <w:t xml:space="preserve"> не проводятся</w:t>
      </w:r>
      <w:proofErr w:type="gramStart"/>
      <w:r w:rsidR="00A64020" w:rsidRPr="00422777">
        <w:rPr>
          <w:color w:val="231F20"/>
          <w:sz w:val="22"/>
          <w:szCs w:val="22"/>
        </w:rPr>
        <w:t>.</w:t>
      </w:r>
      <w:proofErr w:type="gramEnd"/>
      <w:r w:rsidR="00A64020" w:rsidRPr="00422777">
        <w:rPr>
          <w:color w:val="231F20"/>
          <w:sz w:val="22"/>
          <w:szCs w:val="22"/>
        </w:rPr>
        <w:t xml:space="preserve"> (</w:t>
      </w:r>
      <w:proofErr w:type="gramStart"/>
      <w:r w:rsidR="00A64020" w:rsidRPr="00422777">
        <w:rPr>
          <w:b/>
          <w:color w:val="231F20"/>
          <w:sz w:val="22"/>
          <w:szCs w:val="22"/>
        </w:rPr>
        <w:t>д</w:t>
      </w:r>
      <w:proofErr w:type="gramEnd"/>
      <w:r w:rsidR="00A64020" w:rsidRPr="00422777">
        <w:rPr>
          <w:b/>
          <w:color w:val="231F20"/>
          <w:sz w:val="22"/>
          <w:szCs w:val="22"/>
        </w:rPr>
        <w:t>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9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71" w:rsidRDefault="005C1F71" w:rsidP="007368C8">
      <w:r>
        <w:separator/>
      </w:r>
    </w:p>
  </w:endnote>
  <w:endnote w:type="continuationSeparator" w:id="0">
    <w:p w:rsidR="005C1F71" w:rsidRDefault="005C1F71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72" w:rsidRDefault="00E3660E" w:rsidP="00F710DF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71" w:rsidRDefault="005C1F71" w:rsidP="007368C8">
      <w:r>
        <w:separator/>
      </w:r>
    </w:p>
  </w:footnote>
  <w:footnote w:type="continuationSeparator" w:id="0">
    <w:p w:rsidR="005C1F71" w:rsidRDefault="005C1F71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74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04CF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5DE1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33A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39AC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A48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3660E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ACF6D-2D76-488A-BF5D-32DEA9AE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User</cp:lastModifiedBy>
  <cp:revision>2</cp:revision>
  <dcterms:created xsi:type="dcterms:W3CDTF">2023-09-24T11:01:00Z</dcterms:created>
  <dcterms:modified xsi:type="dcterms:W3CDTF">2023-09-24T11:01:00Z</dcterms:modified>
</cp:coreProperties>
</file>