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25"/>
        <w:gridCol w:w="567"/>
        <w:gridCol w:w="850"/>
        <w:gridCol w:w="592"/>
        <w:gridCol w:w="186"/>
        <w:gridCol w:w="72"/>
        <w:gridCol w:w="142"/>
        <w:gridCol w:w="192"/>
        <w:gridCol w:w="592"/>
        <w:gridCol w:w="634"/>
        <w:gridCol w:w="142"/>
        <w:gridCol w:w="111"/>
        <w:gridCol w:w="30"/>
        <w:gridCol w:w="800"/>
        <w:gridCol w:w="476"/>
        <w:gridCol w:w="3827"/>
        <w:gridCol w:w="567"/>
      </w:tblGrid>
      <w:tr>
        <w:trPr>
          <w:trHeight w:hRule="exact" w:val="277.83"/>
        </w:trPr>
        <w:tc>
          <w:tcPr>
            <w:tcW w:w="10221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МИНИСТЕРСТВО НАУКИ И ВЫСШЕГО ОБРАЗОВАНИЯ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ФЕДЕРАЛЬНОЕ ГОСУДАРСТВЕННОЕ БЮДЖЕТНОЕ ОБРАЗОВАТЕЛЬНОЕ УЧРЕЖДЕНИЕ ВЫСШЕГО ОБРАЗОВАНИЯ</w:t>
            </w:r>
          </w:p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"РЯЗАНСКИЙ ГОСУДАРСТВЕННЫЙ РАДИОТЕХНИЧЕСКИЙ УНИВЕРСИТЕТ ИМЕНИ В.Ф. УТКИНА"</w:t>
            </w:r>
          </w:p>
        </w:tc>
      </w:tr>
      <w:tr>
        <w:trPr>
          <w:trHeight w:hRule="exact" w:val="1250.235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3558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СОГЛАСОВАНО</w:t>
            </w:r>
          </w:p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42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3558.75" w:type="dxa"/>
            <w:gridSpan w:val="11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выпускающей кафедры</w:t>
            </w:r>
          </w:p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42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Проректор по УР</w:t>
            </w:r>
          </w:p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3558.75" w:type="dxa"/>
            <w:gridSpan w:val="11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3558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42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А.В. Корячко</w:t>
            </w:r>
          </w:p>
        </w:tc>
        <w:tc>
          <w:tcPr>
            <w:tcW w:w="568" w:type="dxa"/>
          </w:tcPr>
          <w:p/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3558.7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42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965.202"/>
        </w:trPr>
        <w:tc>
          <w:tcPr>
            <w:tcW w:w="10221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Электромагнитная совместимость радиоэлектронных систем передачи информации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1257.438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426" w:type="dxa"/>
          </w:tcPr>
          <w:p/>
        </w:tc>
        <w:tc>
          <w:tcPr>
            <w:tcW w:w="2210.8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Закреплена за кафедрой</w:t>
            </w:r>
          </w:p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Радиоуправления и связи</w:t>
            </w:r>
          </w:p>
        </w:tc>
      </w:tr>
      <w:tr>
        <w:trPr>
          <w:trHeight w:hRule="exact" w:val="138.9152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11.05.01_23_00.plx</w:t>
            </w:r>
          </w:p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11.05.01 Радиоэлектронные системы и комплексы</w:t>
            </w:r>
          </w:p>
        </w:tc>
      </w:tr>
      <w:tr>
        <w:trPr>
          <w:trHeight w:hRule="exact" w:val="176.4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01.4295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инженер</w:t>
            </w:r>
          </w:p>
        </w:tc>
      </w:tr>
      <w:tr>
        <w:trPr>
          <w:trHeight w:hRule="exact" w:val="138.9143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424.7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очная</w:t>
            </w:r>
          </w:p>
        </w:tc>
      </w:tr>
      <w:tr>
        <w:trPr>
          <w:trHeight w:hRule="exact" w:val="315.3152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2283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ЗЕТ</w:t>
            </w:r>
          </w:p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101.4295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4520.5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727.2086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199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10 (5.2)</w:t>
            </w:r>
          </w:p>
        </w:tc>
        <w:tc>
          <w:tcPr>
            <w:tcW w:w="149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 1/6</w:t>
            </w:r>
          </w:p>
        </w:tc>
        <w:tc>
          <w:tcPr>
            <w:tcW w:w="1493.7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90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0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90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4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90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507.4443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60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90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727.2076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Консультирование перед экзаменом и практикой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0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0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52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50,35</w:t>
            </w:r>
          </w:p>
        </w:tc>
        <w:tc>
          <w:tcPr>
            <w:tcW w:w="60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50,35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50,35</w:t>
            </w:r>
          </w:p>
        </w:tc>
        <w:tc>
          <w:tcPr>
            <w:tcW w:w="90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50,35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50,35</w:t>
            </w:r>
          </w:p>
        </w:tc>
        <w:tc>
          <w:tcPr>
            <w:tcW w:w="60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50,35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50,35</w:t>
            </w:r>
          </w:p>
        </w:tc>
        <w:tc>
          <w:tcPr>
            <w:tcW w:w="90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50,35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34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0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90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94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9.5943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35,65</w:t>
            </w:r>
          </w:p>
        </w:tc>
        <w:tc>
          <w:tcPr>
            <w:tcW w:w="60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35,65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35,65</w:t>
            </w:r>
          </w:p>
        </w:tc>
        <w:tc>
          <w:tcPr>
            <w:tcW w:w="90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35,65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1857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07.0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901.6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180</w:t>
            </w:r>
          </w:p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8.5643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43" w:type="dxa"/>
          </w:tcPr>
          <w:p/>
        </w:tc>
        <w:tc>
          <w:tcPr>
            <w:tcW w:w="112" w:type="dxa"/>
          </w:tcPr>
          <w:p/>
        </w:tc>
        <w:tc>
          <w:tcPr>
            <w:tcW w:w="31" w:type="dxa"/>
          </w:tcPr>
          <w:p/>
        </w:tc>
        <w:tc>
          <w:tcPr>
            <w:tcW w:w="801" w:type="dxa"/>
          </w:tcPr>
          <w:p/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04"/>
        </w:trPr>
        <w:tc>
          <w:tcPr>
            <w:tcW w:w="426" w:type="dxa"/>
          </w:tcPr>
          <w:p/>
        </w:tc>
        <w:tc>
          <w:tcPr>
            <w:tcW w:w="568" w:type="dxa"/>
          </w:tcPr>
          <w:p/>
        </w:tc>
        <w:tc>
          <w:tcPr>
            <w:tcW w:w="851" w:type="dxa"/>
          </w:tcPr>
          <w:p/>
        </w:tc>
        <w:tc>
          <w:tcPr>
            <w:tcW w:w="593" w:type="dxa"/>
          </w:tcPr>
          <w:p/>
        </w:tc>
        <w:tc>
          <w:tcPr>
            <w:tcW w:w="187" w:type="dxa"/>
          </w:tcPr>
          <w:p/>
        </w:tc>
        <w:tc>
          <w:tcPr>
            <w:tcW w:w="73" w:type="dxa"/>
          </w:tcPr>
          <w:p/>
        </w:tc>
        <w:tc>
          <w:tcPr>
            <w:tcW w:w="143" w:type="dxa"/>
          </w:tcPr>
          <w:p/>
        </w:tc>
        <w:tc>
          <w:tcPr>
            <w:tcW w:w="193" w:type="dxa"/>
          </w:tcPr>
          <w:p/>
        </w:tc>
        <w:tc>
          <w:tcPr>
            <w:tcW w:w="593" w:type="dxa"/>
          </w:tcPr>
          <w:p/>
        </w:tc>
        <w:tc>
          <w:tcPr>
            <w:tcW w:w="635" w:type="dxa"/>
          </w:tcPr>
          <w:p/>
        </w:tc>
        <w:tc>
          <w:tcPr>
            <w:tcW w:w="1098.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г. Рязань</w:t>
            </w:r>
          </w:p>
        </w:tc>
        <w:tc>
          <w:tcPr>
            <w:tcW w:w="477" w:type="dxa"/>
          </w:tcPr>
          <w:p/>
        </w:tc>
        <w:tc>
          <w:tcPr>
            <w:tcW w:w="3828" w:type="dxa"/>
          </w:tcPr>
          <w:p/>
        </w:tc>
        <w:tc>
          <w:tcPr>
            <w:tcW w:w="568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84"/>
        <w:gridCol w:w="3544"/>
        <w:gridCol w:w="283"/>
        <w:gridCol w:w="567"/>
        <w:gridCol w:w="1134"/>
        <w:gridCol w:w="425"/>
        <w:gridCol w:w="3544"/>
        <w:gridCol w:w="425"/>
        <w:gridCol w:w="567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11.05.01_23_00.plx</w:t>
            </w:r>
          </w:p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Программу составил(и):</w:t>
            </w:r>
          </w:p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9"/>
                <w:szCs w:val="19"/>
              </w:rPr>
              <w:t> к.т.н., доц. , Егоров А.В.</w:t>
            </w:r>
          </w:p>
        </w:tc>
      </w:tr>
      <w:tr>
        <w:trPr>
          <w:trHeight w:hRule="exact" w:val="277.83"/>
        </w:trPr>
        <w:tc>
          <w:tcPr>
            <w:tcW w:w="285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3"/>
        </w:trPr>
        <w:tc>
          <w:tcPr>
            <w:tcW w:w="285" w:type="dxa"/>
          </w:tcPr>
          <w:p/>
        </w:tc>
        <w:tc>
          <w:tcPr>
            <w:tcW w:w="3842.2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9.15"/>
        </w:trPr>
        <w:tc>
          <w:tcPr>
            <w:tcW w:w="285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Электромагнитная совместимость радиоэлектронных систем передачи информации</w:t>
            </w:r>
          </w:p>
        </w:tc>
      </w:tr>
      <w:tr>
        <w:trPr>
          <w:trHeight w:hRule="exact" w:val="277.8299"/>
        </w:trPr>
        <w:tc>
          <w:tcPr>
            <w:tcW w:w="285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 ВО:</w:t>
            </w:r>
          </w:p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ФГОС ВО - специалитет по специальности 11.05.01  Радиоэлектронные системы и комплексы (приказ Минобрнауки России от 09.02.2018 г. № 94)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11.05.01 Радиоэлектронные системы и комплексы</w:t>
            </w:r>
          </w:p>
        </w:tc>
      </w:tr>
      <w:tr>
        <w:trPr>
          <w:trHeight w:hRule="exact" w:val="416.7455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от 28.04.2023 протокол № 11.</w:t>
            </w:r>
          </w:p>
        </w:tc>
      </w:tr>
      <w:tr>
        <w:trPr>
          <w:trHeight w:hRule="exact" w:val="555.6598"/>
        </w:trPr>
        <w:tc>
          <w:tcPr>
            <w:tcW w:w="285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Радиоуправления и связи</w:t>
            </w:r>
          </w:p>
        </w:tc>
      </w:tr>
      <w:tr>
        <w:trPr>
          <w:trHeight w:hRule="exact" w:val="277.8304"/>
        </w:trPr>
        <w:tc>
          <w:tcPr>
            <w:tcW w:w="285" w:type="dxa"/>
          </w:tcPr>
          <w:p/>
        </w:tc>
        <w:tc>
          <w:tcPr>
            <w:tcW w:w="3545" w:type="dxa"/>
          </w:tcPr>
          <w:p/>
        </w:tc>
        <w:tc>
          <w:tcPr>
            <w:tcW w:w="284" w:type="dxa"/>
          </w:tcPr>
          <w:p/>
        </w:tc>
        <w:tc>
          <w:tcPr>
            <w:tcW w:w="568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3545" w:type="dxa"/>
          </w:tcPr>
          <w:p/>
        </w:tc>
        <w:tc>
          <w:tcPr>
            <w:tcW w:w="426" w:type="dxa"/>
          </w:tcPr>
          <w:p/>
        </w:tc>
        <w:tc>
          <w:tcPr>
            <w:tcW w:w="568" w:type="dxa"/>
          </w:tcPr>
          <w:p/>
        </w:tc>
      </w:tr>
      <w:tr>
        <w:trPr>
          <w:trHeight w:hRule="exact" w:val="833.4893"/>
        </w:trPr>
        <w:tc>
          <w:tcPr>
            <w:tcW w:w="10788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01.06.2023 г.  №  10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2023-2029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Дмитриев Владимир Тимурович</w:t>
            </w:r>
          </w:p>
        </w:tc>
      </w:tr>
      <w:tr>
        <w:trPr>
          <w:trHeight w:hRule="exact" w:val="277.8304"/>
        </w:trPr>
        <w:tc>
          <w:tcPr>
            <w:tcW w:w="6252" w:type="dxa"/>
            <w:gridSpan w:val="6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1.9998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6252" w:type="dxa"/>
            <w:gridSpan w:val="6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984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1.9998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198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11.05.01_23_00.plx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277.83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Радиоуправления и связи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49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694.5752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277.8299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2025-2026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Радиоуправления и связи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111.32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2025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555.6598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2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2026-2027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Радиоуправления и связи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53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2026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</w:t>
            </w:r>
          </w:p>
        </w:tc>
      </w:tr>
      <w:tr>
        <w:trPr>
          <w:trHeight w:hRule="exact" w:val="833.4893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4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2027-2028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Радиоуправления и связи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198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972.4053"/>
        </w:trPr>
        <w:tc>
          <w:tcPr>
            <w:tcW w:w="2694" w:type="dxa"/>
          </w:tcPr>
          <w:p/>
        </w:tc>
        <w:tc>
          <w:tcPr>
            <w:tcW w:w="8094.7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2027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__________________________________________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070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11.05.01_23_00.plx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277.68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 (МОДУЛЯ)</w:t>
            </w:r>
          </w:p>
        </w:tc>
      </w:tr>
      <w:tr>
        <w:trPr>
          <w:trHeight w:hRule="exact" w:val="507.443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Целью преподавания дисциплины является формирование у студентов комплексного представления о проблеме электромагнитной совместимости радиоэлектронных средств.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Задачи:</w:t>
            </w:r>
          </w:p>
        </w:tc>
      </w:tr>
      <w:tr>
        <w:trPr>
          <w:trHeight w:hRule="exact" w:val="946.97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процессе изучения дисциплины студенты осваивают современные методы повышения эффективности использования радиочастотного спектра,классификацию и характеристики электромагнитных помех, характеристики и параметры ЭМС радиотехнических устройств, пути решения задач по анализу и обеспечению электромагнитной совместимости.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071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(МОДУЛЯ) В СТРУКТУРЕ ОБРАЗОВАТЕЛЬНОЙ ПРОГРАММЫ</w:t>
            </w:r>
          </w:p>
        </w:tc>
      </w:tr>
      <w:tr>
        <w:trPr>
          <w:trHeight w:hRule="exact" w:val="277.8301"/>
        </w:trPr>
        <w:tc>
          <w:tcPr>
            <w:tcW w:w="285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НИРС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Оптические системы управления РЭС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Помехозащита радиоэлектронных систем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Проектирование и моделирование радиоэлектронных систем передачи информации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и комплексы радиоэлектронных разведок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Системы передачи информационно-управляющих потоков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Спутниковые и радиорелейные системы передачи информации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Широкополосные системы передачи информации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модуляции и помехоустойчивого кодирования в радиосистемах и комплексах управления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Помехозащита в радионавигации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Радиолокационные объекты и отражения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Адаптация РЭС в условиях РЭБ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Адаптивные методы обработки сигналов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Защита информации в РЭС и комплексах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Защищенные радиосистемы и комплексы управления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Защищенные системы передачи информации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Интегрированные системы позиционирования в РЭС управления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Комплексированные системы навигации в РЭС управлении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Оптические системы передачи информации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2.1.20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Статистическая теория радиосистем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УИР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Учебно-исследовательская работа (УИР)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 выпускной квалификационной работы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 выпускной квалификационной работы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и защита  выпускной квалификационной работы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2.2.4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работа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2.2.5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работа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2.2.6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Научно-исследовательская работа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2.2.7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Преддипломная практика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2.2.8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Преддипломная практика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2.2.9</w:t>
            </w:r>
          </w:p>
        </w:tc>
        <w:tc>
          <w:tcPr>
            <w:tcW w:w="10022.5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Преддипломная практика</w:t>
            </w:r>
          </w:p>
        </w:tc>
      </w:tr>
      <w:tr>
        <w:trPr>
          <w:trHeight w:hRule="exact" w:val="138.9143"/>
        </w:trPr>
        <w:tc>
          <w:tcPr>
            <w:tcW w:w="766" w:type="dxa"/>
          </w:tcPr>
          <w:p/>
        </w:tc>
        <w:tc>
          <w:tcPr>
            <w:tcW w:w="2071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536.844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ПК-2: Способен применять методы проектирования, разработки и сопровождения перспективных РТС и РЭС РКТ и систем РЭБ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ПК-2.2. Проводит исследования методами имитационного моделирования  путей  совершенствования характеристик РТС и РЭС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567"/>
        <w:gridCol w:w="992"/>
        <w:gridCol w:w="709"/>
        <w:gridCol w:w="1134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11.05.01_23_00.plx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3779.811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Знать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причины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источники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электромагнитных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помех;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параметры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устройств;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источников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непреднамеренных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электромагнитных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помех;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основные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рецепторы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помех;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особенности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использования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РЧР;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оценки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ЭМО;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основные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принципы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частотно-территориального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планирования;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международные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принципы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методы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оптимизации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использования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радиочастотного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ресурса.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Уметь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оценивать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уровни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неосновных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излучений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радиопередатчиков;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выполнять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оценку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избирательности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приемников;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оценивать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восприимчивость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приемников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помехам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неосновным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каналам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приема;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проводить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измерения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испытания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области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ЭМС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Владеть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навыками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моделирования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радиоэлектронных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систем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современных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пакетах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прикладных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программ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с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целью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оптимизации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параметров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влияющих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характеристики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ЭМС</w:t>
            </w:r>
            <w:r>
              <w:rPr/>
              <w:t xml:space="preserve"> </w:t>
            </w:r>
          </w:p>
        </w:tc>
      </w:tr>
      <w:tr>
        <w:trPr>
          <w:trHeight w:hRule="exact" w:val="14.7"/>
        </w:trPr>
        <w:tc>
          <w:tcPr>
            <w:tcW w:w="10788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4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(модуля) обучающийся должен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причины и источники электромагнитных помех;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параметры	устройств;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источников	непреднамеренных электромагнитных помех;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основные рецепторы помех;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особенности использования РЧР;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3.1.6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методы оценки ЭМО;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3.1.7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основные принципы частотно-территориального планирования;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3.1.8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международные принципы и методы оптимизации использования радиочастотного ресурса.</w:t>
            </w:r>
          </w:p>
        </w:tc>
      </w:tr>
      <w:tr>
        <w:trPr>
          <w:trHeight w:hRule="exact" w:val="277.83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оценивать уровни неосновных излучений радиопередатчиков;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выполнять оценку избирательности приемников;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оценивать	восприимчивость	приемников	к	помехам	по неосновным каналам приема;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проводить измерения и испытания в области ЭМС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507.44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	навыками моделирования радиоэлектронных систем в современных пакетах прикладных программ с целью оптимизации их параметров влияющих на характеристики ЭМС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Форма контроля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Общие вопросы ЭМС РЭС и ТКС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вопросы ЭМС РЭС и ТКС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вопросы ЭМС РЭС и ТКС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 вопросы ЭМС РЭС и ТКС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Радиочастотный ресурс, его особенности и принципы управления.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Радиочастотный ресурс, его особенности и принципы управления.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567"/>
        <w:gridCol w:w="992"/>
        <w:gridCol w:w="709"/>
        <w:gridCol w:w="1134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11.05.01_23_00.plx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Радиочастотный ресурс, его особенности и принципы управления.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Радиочастотный ресурс, его особенности и принципы управления.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Современные методы повышения эффективности использования радиочастотного спектра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методы повышения эффективности использования радиочастотного спектра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методы повышения эффективности использования радиочастотного спектра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методы повышения эффективности использования радиочастотного спектра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4. Организация службы радиоконтроля.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службы радиоконтроля.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службы радиоконтроля.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Организация службы радиоконтроля.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5. Классификация и характеристики электромагнитных помех.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характеристики электромагнитных помех. 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характеристики электромагнитных помех.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Классификация и характеристики электромагнитных помех.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6. Характеристики и параметры ЭМС радиопередающих устройств.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радиопередающих устройств.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радиопередающих устройств.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567"/>
        <w:gridCol w:w="992"/>
        <w:gridCol w:w="709"/>
        <w:gridCol w:w="1134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11.05.01_23_00.plx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радиопередающих устройств.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радиопередающих устройств.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7. Характеристики и параметры ЭМС радиоприемных устройств.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радиоприемных устройств.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радиоприемных устройств.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радиоприемных устройств.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7.4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радиоприемных устройств.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8. Характеристики и параметры ЭМС антенн и антенно-фидерных трактов.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антенн и антенно-фидерных трактов.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антенн и антенно-фидерных трактов.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антенн и антенно-фидерных трактов.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9. Характеристики и параметры ЭМС среды распространения радиоволн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среды распространения радиоволн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среды распространения радиоволн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Характеристики и параметры ЭМС среды распространения радиоволн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10. Индустриальные радиопомехи.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Индустриальные радиопомехи.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567"/>
        <w:gridCol w:w="992"/>
        <w:gridCol w:w="709"/>
        <w:gridCol w:w="1134"/>
        <w:gridCol w:w="1276"/>
        <w:gridCol w:w="425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11.05.01_23_00.plx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426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Индустриальные радиопомехи.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Индустриальные радиопомехи.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11. Методы анализа ЭМС РЭС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анализа ЭМС РЭС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анализа ЭМС РЭС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11.3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анализа ЭМС РЭС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12. Экспериментальные методы исследований ЭМС РЭС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3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Экспериментальные методы исследований ЭМС РЭС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Экспериментальные методы исследований ЭМС РЭС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Экспериментальные методы исследований ЭМС РЭС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13. Вопросы объектовой электромагнитной совместимости при проектировании сетей радиосвязи и вещания.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объектовой электромагнитной совместимости при проектировании сетей радиосвязи и вещания.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объектовой электромагнитной совместимости при проектировании сетей радиосвязи и вещания.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13.3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объектовой электромагнитной совместимости при проектировании сетей радиосвязи и вещания.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14. Методы обеспечения ЭМС РЭС.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14.1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обеспечения ЭМС РЭС.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14.2</w:t>
            </w:r>
          </w:p>
        </w:tc>
        <w:tc>
          <w:tcPr>
            <w:tcW w:w="4267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обеспечения ЭМС РЭС.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701"/>
        <w:gridCol w:w="1984"/>
        <w:gridCol w:w="567"/>
        <w:gridCol w:w="992"/>
        <w:gridCol w:w="709"/>
        <w:gridCol w:w="1134"/>
        <w:gridCol w:w="1276"/>
        <w:gridCol w:w="142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11.05.01_23_00.plx</w:t>
            </w:r>
          </w:p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14.3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обеспечения ЭМС РЭС.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15. Технические средства обеспечения ЭМС РЭС при воздействии различных помех в системах связи.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15.1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Технические средства обеспечения ЭМС РЭС при воздействии различных помех в системах связи.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15.2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Технические средства обеспечения ЭМС РЭС при воздействии различных помех в системах связи.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Лекция</w:t>
            </w:r>
          </w:p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15.3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Технические средства обеспечения ЭМС РЭС при воздействии различных помех в системах связи.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 ая</w:t>
            </w:r>
          </w:p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16. Консультации, зачет и экзамен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16.745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16.1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Консультации, зачет и экзамен /Тема/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16.2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Экзамен /Экзамен/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35,65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16.3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/Кнс/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ПК-2.2-З ПК-2.2-У ПК-2.2-В</w:t>
            </w:r>
          </w:p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 Л1.5 Л1.6Л2.1 Л2.2Л3.1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16.4</w:t>
            </w:r>
          </w:p>
        </w:tc>
        <w:tc>
          <w:tcPr>
            <w:tcW w:w="4267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Сдача Экзамена /ИКР/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0,35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432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Сдача Экзамена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702" w:type="dxa"/>
          </w:tcPr>
          <w:p/>
        </w:tc>
        <w:tc>
          <w:tcPr>
            <w:tcW w:w="19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ОЦЕНОЧНЫЕ МАТЕРИАЛЫ ПО ДИСЦИПЛИНЕ (МОДУЛЮ)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478.04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Оценочные материалы приведены в приложении к рабочей программе дисциплины (см. документ «Оценочные материалы по дисциплине «Электромагнитная совместимость радиоэлектронных систем передачи информации»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702" w:type="dxa"/>
          </w:tcPr>
          <w:p/>
        </w:tc>
        <w:tc>
          <w:tcPr>
            <w:tcW w:w="19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1277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694.57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2236.017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Ефанов В. И., Тихомиров А. 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Электромагнитная совместимость радиоэлектронных средств и систем : учебное пособие</w:t>
            </w:r>
          </w:p>
        </w:tc>
        <w:tc>
          <w:tcPr>
            <w:tcW w:w="1432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Томск: Томский государственн ый университет систем управления и радиоэлектрон ики, 2012, 228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5-86889-188- 0, http://www.ipr bookshop.ru/1 4033.html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84"/>
        <w:gridCol w:w="1276"/>
        <w:gridCol w:w="709"/>
        <w:gridCol w:w="3402"/>
        <w:gridCol w:w="1418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11.05.01_23_00.plx</w:t>
            </w:r>
          </w:p>
        </w:tc>
        <w:tc>
          <w:tcPr>
            <w:tcW w:w="3403" w:type="dxa"/>
          </w:tcPr>
          <w:p/>
        </w:tc>
        <w:tc>
          <w:tcPr>
            <w:tcW w:w="1419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694.57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1357.1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Корниенко С. А.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Техническое обеспечение государственного регулирования использования радиочастотного спектра в Российской Федерации : учебное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Ставрополь: Северо- Кавказский федеральный университет, 2016, 193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2227-8397, http://www.ipr bookshop.ru/6 6037.html</w:t>
            </w:r>
          </w:p>
        </w:tc>
      </w:tr>
      <w:tr>
        <w:trPr>
          <w:trHeight w:hRule="exact" w:val="1576.8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Бутенко В. В., Девяткин Е. Е., Суходольская Т. А.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Перспективные методы управления использованием радиочастотного спектра : учебное пособие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технический университет связи и информатики, 2017, 61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2227-8397, http://www.ipr bookshop.ru/9 2468.html</w:t>
            </w:r>
          </w:p>
        </w:tc>
      </w:tr>
      <w:tr>
        <w:trPr>
          <w:trHeight w:hRule="exact" w:val="1137.33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Боридько С. И., Дементьев Н. В., Тихонов Б. Н., Ходжаев И. А.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Метрология и электрорадиоизмерения в телекоммуникационных системах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Горячая линия- Телеком, 2013, 360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978-5-9912- 0245-9, https://e.lanbo ok.com/book/1 11021</w:t>
            </w:r>
          </w:p>
        </w:tc>
      </w:tr>
      <w:tr>
        <w:trPr>
          <w:trHeight w:hRule="exact" w:val="1111.3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Егоров А. В., Корнеев В.А.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возникновения внеполосных излучений радиопередатчиков : метод. указ. к лаб. работе №1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Рязань, 2016, 12с.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</w:t>
            </w:r>
          </w:p>
        </w:tc>
      </w:tr>
      <w:tr>
        <w:trPr>
          <w:trHeight w:hRule="exact" w:val="1111.3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Л1.6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Егоров А.В., Корнеев В.А.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возникновения побочных излучений радиопередатчиков : метод. указ. к лаб. работе №2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Рязань, 2018, 12с.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,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694.574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1111.3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Буга Н.Н., Конторович В.Я., Носов В.И.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Электромагнитная совместимость радиоэлектронных средств : Учеб.пособие для вузов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М.:Радио и связь, 1993, 240с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5-256-00398- 4, 1</w:t>
            </w:r>
          </w:p>
        </w:tc>
      </w:tr>
      <w:tr>
        <w:trPr>
          <w:trHeight w:hRule="exact" w:val="1111.32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под. ред. М.А.Быховского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Управление радиочастотным спектром и электромагнитная совместимость радиосистем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М.: Эко- Трендз, 2006, 376с.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5-88405-067- 4, 1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6.1.3. Методические разработки</w:t>
            </w:r>
          </w:p>
        </w:tc>
      </w:tr>
      <w:tr>
        <w:trPr>
          <w:trHeight w:hRule="exact" w:val="694.57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№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Количество/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название ЭБС</w:t>
            </w:r>
          </w:p>
        </w:tc>
      </w:tr>
      <w:tr>
        <w:trPr>
          <w:trHeight w:hRule="exact" w:val="1576.86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Л3.1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Пустовойтов Е. Л.</w:t>
            </w:r>
          </w:p>
        </w:tc>
        <w:tc>
          <w:tcPr>
            <w:tcW w:w="5401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Учебно-методическое пособие по дисциплине Электромагнитная совместимость и управление радиочастотным спектром</w:t>
            </w:r>
          </w:p>
        </w:tc>
        <w:tc>
          <w:tcPr>
            <w:tcW w:w="1432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Московский технический университет связи и информатики, 2015, 15 с.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2227-8397, http://www.ipr bookshop.ru/6 3374.html</w:t>
            </w:r>
          </w:p>
        </w:tc>
      </w:tr>
      <w:tr>
        <w:trPr>
          <w:trHeight w:hRule="exact" w:val="972.4053"/>
        </w:trPr>
        <w:tc>
          <w:tcPr>
            <w:tcW w:w="10788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 Перечень программного обеспечения и информационных справочных систем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>
        <w:trPr>
          <w:trHeight w:hRule="exact" w:val="416.7446"/>
        </w:trPr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Описание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Операционная система Windows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Коммерческая лицензия</w:t>
            </w:r>
          </w:p>
        </w:tc>
      </w:tr>
      <w:tr>
        <w:trPr>
          <w:trHeight w:hRule="exact" w:val="277.8286"/>
        </w:trPr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Коммерческая лицензия</w:t>
            </w:r>
          </w:p>
        </w:tc>
      </w:tr>
      <w:tr>
        <w:trPr>
          <w:trHeight w:hRule="exact" w:val="277.8304"/>
        </w:trPr>
        <w:tc>
          <w:tcPr>
            <w:tcW w:w="398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Свободное ПО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850"/>
        <w:gridCol w:w="3119"/>
        <w:gridCol w:w="709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11.05.01_23_00.plx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277.83"/>
        </w:trPr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LibreOffice</w:t>
            </w:r>
          </w:p>
        </w:tc>
        <w:tc>
          <w:tcPr>
            <w:tcW w:w="681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Свободное ПО</w:t>
            </w:r>
          </w:p>
        </w:tc>
      </w:tr>
      <w:tr>
        <w:trPr>
          <w:trHeight w:hRule="exact" w:val="277.83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информационных справочных систем</w:t>
            </w:r>
          </w:p>
        </w:tc>
      </w:tr>
      <w:tr>
        <w:trPr>
          <w:trHeight w:hRule="exact" w:val="277.83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6.3.2.1</w:t>
            </w:r>
          </w:p>
        </w:tc>
        <w:tc>
          <w:tcPr>
            <w:tcW w:w="993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Информационно-правовой портал ГАРАНТ.РУ http://www.garant.ru</w:t>
            </w:r>
          </w:p>
        </w:tc>
      </w:tr>
      <w:tr>
        <w:trPr>
          <w:trHeight w:hRule="exact" w:val="277.83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6.3.2.2</w:t>
            </w:r>
          </w:p>
        </w:tc>
        <w:tc>
          <w:tcPr>
            <w:tcW w:w="993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Система КонсультантПлюс http://www.consultant.ru</w:t>
            </w:r>
          </w:p>
        </w:tc>
      </w:tr>
      <w:tr>
        <w:trPr>
          <w:trHeight w:hRule="exact" w:val="454.2298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6.3.2.3</w:t>
            </w:r>
          </w:p>
        </w:tc>
        <w:tc>
          <w:tcPr>
            <w:tcW w:w="993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Справочная правовая система «КонсультантПлюс» (договор об информационной поддержке №1342/455-100 от 28.10.2011 г.)</w:t>
            </w:r>
          </w:p>
        </w:tc>
      </w:tr>
      <w:tr>
        <w:trPr>
          <w:trHeight w:hRule="exact" w:val="277.8301"/>
        </w:trPr>
        <w:tc>
          <w:tcPr>
            <w:tcW w:w="851" w:type="dxa"/>
          </w:tcPr>
          <w:p/>
        </w:tc>
        <w:tc>
          <w:tcPr>
            <w:tcW w:w="3120" w:type="dxa"/>
          </w:tcPr>
          <w:p/>
        </w:tc>
        <w:tc>
          <w:tcPr>
            <w:tcW w:w="710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МАТЕРИАЛЬНО-ТЕХНИЧЕСКОЕ ОБЕСПЕЧЕНИЕ ДИСЦИПЛИНЫ (МОДУЛЯ)</w:t>
            </w:r>
          </w:p>
        </w:tc>
      </w:tr>
      <w:tr>
        <w:trPr>
          <w:trHeight w:hRule="exact" w:val="893.6131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</w:t>
            </w:r>
          </w:p>
        </w:tc>
        <w:tc>
          <w:tcPr>
            <w:tcW w:w="993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516 лабораторный корпус. Учебная аудитория для проведения лекционных и практических занятий Специализированная мебель (56 посадочных мест), магнитно-маркерная доска. Мультимедиа проектор, 1 экран. Персональные компьютеры:  8 шт. Возможность подключения к сети Интернет и обеспечение доступа в электронную информационно-образовательную среду РГРТУ</w:t>
            </w:r>
          </w:p>
        </w:tc>
      </w:tr>
      <w:tr>
        <w:trPr>
          <w:trHeight w:hRule="exact" w:val="1333.143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993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508 лабораторный корпус. Учебная лаборатория, оснащенная лабораторным оборудованием, для проведения лабораторных работ и практических занятий Специализированная мебель (18 посадочных мест), магнитно- маркерная доска. Мультимедиа проектор, 1 экран. Лабораторные стенды, ИА-001, частотомеры, осциллографы, фазометр, генераторы, Учебно-отладочное устройство «Электроника 580».</w:t>
            </w:r>
          </w:p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Персональные компьютеры 8 шт. Возможность подключения к сети Интернет и обеспечение доступа в электронную информационно-образовательную среду РГРТУ</w:t>
            </w:r>
          </w:p>
        </w:tc>
      </w:tr>
      <w:tr>
        <w:trPr>
          <w:trHeight w:hRule="exact" w:val="1992.438"/>
        </w:trPr>
        <w:tc>
          <w:tcPr>
            <w:tcW w:w="865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</w:t>
            </w:r>
          </w:p>
        </w:tc>
        <w:tc>
          <w:tcPr>
            <w:tcW w:w="993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511 лабораторный корпус. Учебная лаборатория, оснащенная лабораторным оборудованием, для проведения лабораторных работ, лекционных и практических занятий Специализированная мебель (24 посадочных места), магнитно-маркерная доска. Мультимедиа проектор, 1 экран. Лабораторные стенды, базовая станция сотовой связи BS-240, контроллер базовых станций BSC-72, 3 макета ЦРРЛ NEСPasolinkv4, TADIRAN, включающих в себя 2 блока наружной установки и 2 блока внутренней установки, радиорелейная станция РРС-1М, радиолиния СРЛ-11, макет «Исследования ИКФ-ОФМ», макет «Исследования ВОЛС», сварочный аппарат для ВОЛС FSU 995 FA, осциллографы, анализаторы спектра, вольтметры, источники питания, генераторы, частотомеры, измерители, прибор для исследования АЧХ. Персональные компьютеры:  8 шт. Возможность подключения к сети Интернет и обеспечение доступа в электронную информационно-образовательную среду РГРТУ</w:t>
            </w:r>
          </w:p>
        </w:tc>
      </w:tr>
      <w:tr>
        <w:trPr>
          <w:trHeight w:hRule="exact" w:val="277.8304"/>
        </w:trPr>
        <w:tc>
          <w:tcPr>
            <w:tcW w:w="851" w:type="dxa"/>
          </w:tcPr>
          <w:p/>
        </w:tc>
        <w:tc>
          <w:tcPr>
            <w:tcW w:w="3120" w:type="dxa"/>
          </w:tcPr>
          <w:p/>
        </w:tc>
        <w:tc>
          <w:tcPr>
            <w:tcW w:w="710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МАТЕРИАЛЫ ПО ДИСЦИПЛИНЕ (МОДУЛЮ)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материалы приведены в приложении к рабочей программе дисциплины (см. документ «Методические материалы по дисциплине «Электромагнитная совместимость радиоэлектронных систем передачи информации»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2023-2024_11_05_01_23_00_plx_Электромагнитная совместимость радиоэлектронных систем передачи информации</dc:title>
  <dc:creator>FastReport.NET</dc:creator>
</cp:coreProperties>
</file>