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spacing w:lineRule="auto" w:line="240" w:before="0" w:after="0"/>
        <w:jc w:val="center"/>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МИНИСТЕРСТВО НАУКИ И ВЫСШЕГО ОБРАЗОВАНИЯ РОССИЙСКОЙ ФЕДЕРАЦИИ</w:t>
      </w:r>
    </w:p>
    <w:p>
      <w:pPr>
        <w:pStyle w:val="Normal"/>
        <w:spacing w:lineRule="auto" w:line="240" w:before="0" w:after="0"/>
        <w:ind w:left="5" w:hanging="0"/>
        <w:jc w:val="center"/>
        <w:rPr>
          <w:rFonts w:ascii="Times New Roman" w:hAnsi="Times New Roman" w:eastAsia="Times New Roman" w:cs="Times New Roman"/>
          <w:color w:val="000000"/>
          <w:sz w:val="24"/>
          <w:szCs w:val="24"/>
          <w:lang w:eastAsia="zh-CN"/>
        </w:rPr>
      </w:pPr>
      <w:r>
        <w:rPr>
          <w:rFonts w:eastAsia="Times New Roman" w:cs="Times New Roman" w:ascii="Times New Roman" w:hAnsi="Times New Roman"/>
          <w:color w:val="000000"/>
          <w:sz w:val="24"/>
          <w:szCs w:val="24"/>
          <w:lang w:eastAsia="zh-CN"/>
        </w:rPr>
      </w:r>
    </w:p>
    <w:p>
      <w:pPr>
        <w:pStyle w:val="Normal"/>
        <w:spacing w:lineRule="auto" w:line="240" w:before="0" w:after="0"/>
        <w:ind w:left="5" w:hanging="0"/>
        <w:jc w:val="center"/>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t>ФЕДЕРАЛЬНОЕ ГОСУДАРСТВЕННОЕ БЮДЖЕТНОЕ ОБРАЗОВАТЕЛЬНОЕ</w:t>
      </w:r>
    </w:p>
    <w:p>
      <w:pPr>
        <w:pStyle w:val="Normal"/>
        <w:spacing w:lineRule="auto" w:line="240" w:before="0" w:after="0"/>
        <w:ind w:left="5" w:hanging="0"/>
        <w:jc w:val="center"/>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t>УЧРЕЖДЕНИЕ ВЫСШЕГО ОБРАЗОВАНИЯ</w:t>
      </w:r>
    </w:p>
    <w:p>
      <w:pPr>
        <w:pStyle w:val="Normal"/>
        <w:spacing w:lineRule="auto" w:line="240" w:before="0" w:after="0"/>
        <w:ind w:left="5" w:hanging="0"/>
        <w:jc w:val="center"/>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t>«РЯЗАНСКИЙ ГОСУДАРСТВЕННЫЙ РАДИОТЕХНИЧЕСКИЙ УНИВЕРСИТЕТ</w:t>
      </w:r>
    </w:p>
    <w:p>
      <w:pPr>
        <w:pStyle w:val="Normal"/>
        <w:spacing w:lineRule="auto" w:line="240" w:before="0" w:after="0"/>
        <w:ind w:left="5" w:hanging="0"/>
        <w:jc w:val="center"/>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t xml:space="preserve"> </w:t>
      </w:r>
      <w:r>
        <w:rPr>
          <w:rFonts w:cs="Times New Roman" w:ascii="Times New Roman" w:hAnsi="Times New Roman"/>
          <w:color w:val="000000"/>
          <w:sz w:val="24"/>
          <w:szCs w:val="24"/>
          <w:lang w:eastAsia="zh-CN"/>
        </w:rPr>
        <w:t>ИМЕНИ В.Ф. УТКИНА»</w:t>
      </w:r>
    </w:p>
    <w:p>
      <w:pPr>
        <w:pStyle w:val="Normal"/>
        <w:spacing w:lineRule="auto" w:line="240" w:before="0" w:after="0"/>
        <w:ind w:left="5" w:hanging="0"/>
        <w:jc w:val="center"/>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r>
    </w:p>
    <w:p>
      <w:pPr>
        <w:pStyle w:val="Normal"/>
        <w:spacing w:lineRule="auto" w:line="240" w:before="0" w:after="0"/>
        <w:ind w:left="5" w:hanging="0"/>
        <w:jc w:val="center"/>
        <w:rPr>
          <w:rFonts w:ascii="Times New Roman" w:hAnsi="Times New Roman" w:eastAsia="TimesNewRomanPSMT" w:cs="Times New Roman"/>
          <w:color w:val="000000"/>
          <w:sz w:val="24"/>
          <w:szCs w:val="24"/>
          <w:lang w:eastAsia="zh-CN"/>
        </w:rPr>
      </w:pPr>
      <w:r>
        <w:rPr>
          <w:rFonts w:eastAsia="TimesNewRomanPSMT" w:cs="Times New Roman" w:ascii="Times New Roman" w:hAnsi="Times New Roman"/>
          <w:color w:val="000000"/>
          <w:sz w:val="24"/>
          <w:szCs w:val="24"/>
          <w:lang w:eastAsia="zh-CN"/>
        </w:rPr>
        <w:t>Кафедра «Телекоммуникаций и основ радиотехники»</w:t>
      </w:r>
    </w:p>
    <w:p>
      <w:pPr>
        <w:pStyle w:val="Normal"/>
        <w:spacing w:lineRule="auto" w:line="240" w:before="0" w:after="0"/>
        <w:ind w:left="5" w:hanging="0"/>
        <w:jc w:val="center"/>
        <w:rPr>
          <w:rFonts w:ascii="Times New Roman" w:hAnsi="Times New Roman" w:eastAsia="TimesNewRomanPSMT" w:cs="Times New Roman"/>
          <w:color w:val="000000"/>
          <w:sz w:val="24"/>
          <w:szCs w:val="24"/>
          <w:lang w:eastAsia="zh-CN"/>
        </w:rPr>
      </w:pPr>
      <w:r>
        <w:rPr>
          <w:rFonts w:eastAsia="TimesNewRomanPSMT" w:cs="Times New Roman" w:ascii="Times New Roman" w:hAnsi="Times New Roman"/>
          <w:color w:val="000000"/>
          <w:sz w:val="24"/>
          <w:szCs w:val="24"/>
          <w:lang w:eastAsia="zh-CN"/>
        </w:rPr>
      </w:r>
    </w:p>
    <w:p>
      <w:pPr>
        <w:pStyle w:val="Normal"/>
        <w:spacing w:lineRule="auto" w:line="240" w:before="0" w:after="0"/>
        <w:ind w:left="5" w:hanging="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 xml:space="preserve">МЕТОДИЧЕСКОЕ ОБЕСПЕЧЕНИЕ ДИСЦИПЛИНЫ </w:t>
      </w:r>
    </w:p>
    <w:p>
      <w:pPr>
        <w:pStyle w:val="Normal"/>
        <w:suppressAutoHyphens w:val="true"/>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uppressAutoHyphens w:val="true"/>
        <w:spacing w:lineRule="auto" w:line="240" w:before="0" w:after="5"/>
        <w:ind w:left="6" w:hanging="0"/>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t>«ОСНОВЫ РАДИОТЕХНИКИ»</w:t>
      </w:r>
    </w:p>
    <w:p>
      <w:pPr>
        <w:pStyle w:val="Normal"/>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Специальность</w:t>
      </w:r>
    </w:p>
    <w:p>
      <w:pPr>
        <w:pStyle w:val="Normal"/>
        <w:spacing w:lineRule="auto" w:line="240" w:before="0" w:after="0"/>
        <w:ind w:left="5" w:hanging="0"/>
        <w:jc w:val="center"/>
        <w:rPr>
          <w:rFonts w:ascii="Times New Roman" w:hAnsi="Times New Roman" w:eastAsia="Times New Roman" w:cs="Times New Roman"/>
          <w:color w:val="000000"/>
          <w:sz w:val="24"/>
          <w:szCs w:val="24"/>
        </w:rPr>
      </w:pPr>
      <w:r>
        <w:rPr>
          <w:rFonts w:cs="Times New Roman" w:ascii="Times New Roman" w:hAnsi="Times New Roman"/>
          <w:color w:val="000000"/>
          <w:sz w:val="24"/>
          <w:szCs w:val="24"/>
        </w:rPr>
        <w:t>10.05.01 «Компьютерная безопасность»</w:t>
      </w:r>
    </w:p>
    <w:p>
      <w:pPr>
        <w:pStyle w:val="Normal"/>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color w:val="000000"/>
          <w:sz w:val="24"/>
          <w:szCs w:val="24"/>
        </w:rPr>
        <w:t>Специализация</w:t>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color w:val="000000"/>
          <w:sz w:val="24"/>
          <w:szCs w:val="24"/>
        </w:rPr>
        <w:t>«Разработка систем защиты информации компьютерных систем объектов информатизации (по отрасли или в сфере профессиональной деятельности)»</w:t>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color w:val="000000"/>
          <w:sz w:val="24"/>
          <w:szCs w:val="24"/>
        </w:rPr>
        <w:t>Уровень подготовки</w:t>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color w:val="000000"/>
          <w:sz w:val="24"/>
          <w:szCs w:val="24"/>
        </w:rPr>
        <w:t>Специалитет</w:t>
      </w:r>
    </w:p>
    <w:p>
      <w:pPr>
        <w:pStyle w:val="Normal"/>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t>Квалификация выпускника – специалист</w:t>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color w:val="000000"/>
          <w:sz w:val="24"/>
          <w:szCs w:val="24"/>
        </w:rPr>
        <w:t>Формы обучения – очная</w:t>
      </w:r>
    </w:p>
    <w:p>
      <w:pPr>
        <w:pStyle w:val="Normal"/>
        <w:spacing w:lineRule="auto" w:line="240" w:before="0" w:after="0"/>
        <w:ind w:left="144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bookmarkStart w:id="0" w:name="_GoBack"/>
      <w:bookmarkStart w:id="1" w:name="_GoBack"/>
      <w:bookmarkEnd w:id="1"/>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sz w:val="24"/>
          <w:szCs w:val="24"/>
        </w:rPr>
        <w:t>Рязань 2021 г</w:t>
      </w:r>
      <w:r>
        <w:br w:type="page"/>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освоению дисциплины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работе над конспектом лекции</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т.д.), которые использует преподаватель.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работе с литературой</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т.д.).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План – это схема прочитанного материала, перечень вопросов, отражающих структуру и последовательность материала.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Конспект – это систематизированное, логичное изложение материала источника. Различаются четыре типа конспектов: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план-конспект – это развернутый детализированный план, в котором по наиболее сложным вопросам даются подробные пояснения,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текстуальный конспект – это воспроизведение наиболее важных положений и фактов источника,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тематический конспект – составляется на основе изучения ряда источников и дает ответ по изучаемому вопросу.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подготовке к практическим занятиям</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По наиболее сложным вопросам учебной дисциплины проводятся практические занятия. Их главной задачей является углубление и закрепление теоретических знаний у студентов, формирование и развитие у них умений и навыков применения знаний для успешного решения прикладных задач. Практическое занятие проводится в соответствии с планом. В плане указываются тема, время, место, цели и задачи практического занятия, список основной и дополнительной литературы, рекомендованной к практическому занятию. Подготовка студентов к занятию включает: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заблаговременное ознакомление с планом занятия;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изучение рекомендованной литературы и конспекта лекций;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подготовку полных и глубоких ответов по каждому вопросу, выносимому для обсуждения;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Самое главное на практическом занятии – уметь решить поставленную на занятии задачу и дать преподавателю и своим коллегам-студентам соответствующие пояснения. Поэтому необходимо обратить внимание на полезные советы: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1.</w:t>
        <w:tab/>
        <w:t xml:space="preserve">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2.</w:t>
        <w:tab/>
        <w:t xml:space="preserve">Студенту необходимо стараться отвечать, придерживаясь пунктов плана.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3.</w:t>
        <w:tab/>
        <w:t xml:space="preserve">При устном ответе не волноваться, так как вокруг друзья, а они очень благожелательны к присутствующим.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4.</w:t>
        <w:tab/>
        <w:t xml:space="preserve">Следует говорить внятно при ответе, не употреблять слова-паразиты.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5.</w:t>
        <w:tab/>
        <w:t xml:space="preserve">Полезно изложить свои мысли по тому или иному вопросу дома, в общежитии.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подготовке к лабораторным работам</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Лабораторная работа –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исследования, вычислительные расчеты, разработку программного обеспечения на основе специально разработанных заданий.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тексты программ) необходимо зафиксировать в черновике отчета или сохранить в электронном виде на сменном носителе.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Завершается лабораторная работа оформлением индивидуального отчета и его защитой перед преподавателем.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подготовке к зачету</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Зачет – форма промежуточной проверки знаний, умений, владений, степени освоения дисциплины.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Главная задача зачета состоит в том, чтобы у студента из отдельных сведений и деталей составилось представление об общем содержании соответствующей дисциплины. Готовясь к зачету, студент приводит в систему знания, полученные на лекциях, на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Зачет дает возможность также выявить, умеют ли студенты использовать теоретические знания при решении задач.</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На зачете оцениваются:</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понимание и степень усвоения теории;</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методическая подготовка;</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знание фактического материала;</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знакомство с основной и дополнительно литературой, а также с современными публикациями по данному курсу;</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умение приложить теорию к практике, решать задачи, тесты, правильно проводить расчеты и т.д.;</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логика, структура и стиль ответа, умение защищать выдвигаемые положения.</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Но значение зачета не ограничивается проверкой знаний. Являясь естественным завершением работы студента, он способствует обобщению и закреплению знаний и умений, приведению их в строгую систему, а также устранению возникших в процессе занятий пробелов.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Студенту важно понять, что самостоятельность предполагает напряженную умственную работу. Невозможно предложить алгоритм, с помощью которого преподаватель сможет научить любого студента успешно осваивать дисциплину. Нужно, чтобы студент ставил перед собой вопросы по поводу изучаемого материала, которые можно разбить на две группы: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вопросы, необходимые для осмысления материала в целом;</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текущие вопросы, которые возникают при детальном разборе материала.</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Студент должен их ставить перед собой при подготовке к зачету, и тогда на подобные вопросы со стороны преподавателя ему несложно будет ответить.</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Подготовка к зачету не должна ограничиваться беглым чтением конспекта лекций, даже, если они выполнены подробно и аккуратно. Механического заучивания также следует избегать. Более надежный и целесообразный путь – это тщательная систематизация материала при вдумчивом повторении, запоминании формулировок, увязке различных тем и разделов, закреплении путем решения задач, тестов.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На непосредственную подготовку к зачету обычно дается три - пять дней. Этого времени достаточно только для углубления, расширения и систематизации знаний, на устранение пробелов в знании отдельных вопросов, для определения объема ответов на каждый из вопросов программы.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Планируйте подготовку с точностью до часа, учитывая сразу несколько факторов:</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неоднородность материала и этапов его проработки (например, на первоначальное изучение уходит больше времени, чем на повторение),</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свои индивидуальные способности,</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ритмы деятельности;</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привычки организма.</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Чрезмерная физическая нагрузка наряду с общим утомлением приведет к снижению интеллектуальной деятельности. Рекомендуется делать перерывы в занятиях через каждые 50-60 минут на 10 минут. После 3-4 часов умственного труда следует сделать часовой перерыв. Для сокращения времени на включение в работу целесообразно рабочие периоды делать более длительными, разделяя весь день примерно на три части – с утра до обеда, с обеда до ужина и с ужина до сна.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Подготовку к зачету следует начинать с общего планирования своей деятельности в сессию, с определения объема материала, подлежащего проработке. Необходимо внимательно сверить свои конспекты лекций с программой, чтобы убедиться в том, все ли разделы отражены в лекциях. Отсутствующие темы законспектировать по учебнику и учебному пособию. Более подробное планирование на ближайшие дни будет первым этапом подготовки к очередному зачету. Второй этап предусматривает системное изучение материала по данному предмету с обязательной записью всех выкладок, выводов, терминов. На третьем этапе - этапе закрепления – полезно чередовать углубленное повторение особенно сложных вопросов с беглым повторением всего материала.</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Методические рекомендации студентам по подготовке к экзамену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подготовке к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экзамен.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Необходимо помнить, что практически все экзамены в вузе сконцентрированы в течение короткого временного периода в конце семестра в соответствии с расписанием. Промежутки между очередными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количественного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т.к. всё это может являться обязательной частью учебного процесса по данной дисциплине.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Рекомендуется разработать план подготовки к каждому экзамену, в котором указать, какие вопросы или билеты нужно выучить, какие задачи решить за указанный в плане временной отрезок.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период сдачи экзаменов организм студента работает в крайне напряженном режиме и для успешной сдачи сессии нужно не забывать о простых, но обязательных правилах: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по возможности обеспечить достаточную изоляцию: не отвлекаться на разговоры с друзьями, просмотры телепередач, общение в социальных сетях;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уделять достаточное время сну;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отказаться от успокоительных. Здоровое волнение – это нормально. Лучше снимать волнение небольшими прогулками, самовнушением;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внушать себе, что сессия – это не проблема. Это нормальный рабочий процесс. Не накручивайте себя, не создавайте трагедий в своей голове;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помогите своему организму – обеспечьте ему полноценное питание, давайте ему периоды отдыха с переменой вида деятельности;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следуйте плану подготовки.</w:t>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проведению самостоятельной работы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Самостоятельная работа студента над учебным материалом является неотъемлемой частью учебного процесса в вузе.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учебном процессе образовательного учреждения выделяются два вида самостоятельной работы: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1) </w:t>
      </w:r>
      <w:r>
        <w:rPr>
          <w:rFonts w:cs="Times New Roman" w:ascii="Times New Roman" w:hAnsi="Times New Roman"/>
          <w:i/>
          <w:sz w:val="24"/>
          <w:szCs w:val="24"/>
        </w:rPr>
        <w:t>аудиторная</w:t>
      </w:r>
      <w:r>
        <w:rPr>
          <w:rFonts w:cs="Times New Roman" w:ascii="Times New Roman" w:hAnsi="Times New Roman"/>
          <w:sz w:val="24"/>
          <w:szCs w:val="24"/>
        </w:rPr>
        <w:t xml:space="preserve">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выполнение самостоятельных работ;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выполнение контрольных и лабораторных работ;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составление схем, диаграмм, заполнение таблиц;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решение задач;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работу со справочной, нормативной документацией и научной литературой;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защиту выполненных работ;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тестирование и т.д.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2) </w:t>
      </w:r>
      <w:r>
        <w:rPr>
          <w:rFonts w:cs="Times New Roman" w:ascii="Times New Roman" w:hAnsi="Times New Roman"/>
          <w:i/>
          <w:sz w:val="24"/>
          <w:szCs w:val="24"/>
        </w:rPr>
        <w:t>внеаудиторная</w:t>
      </w:r>
      <w:r>
        <w:rPr>
          <w:rFonts w:cs="Times New Roman" w:ascii="Times New Roman" w:hAnsi="Times New Roman"/>
          <w:sz w:val="24"/>
          <w:szCs w:val="24"/>
        </w:rPr>
        <w:t xml:space="preserve"> – выполняется по заданию преподавателя, но без его непосредственного участия, включает следующие виды деятельности.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подготовку к аудиторным занятиям (теоретическим, практическим занятиям, лабораторным работам);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выполнение домашних заданий разнообразного характера;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выполнение индивидуальных заданий, направленных на развитие у студентов самостоятельности и инициативы;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подготовку к учебной и производственной практикам и выполнение заданий, предусмотренных программами практик;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подготовку к контрольной работе, экзамену;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написание курсовой работы, реферата и других письменных работ на заданные темы;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подготовку к ГИА, в том числе выполнение ВКР;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другие виды внеаудиторной самостоятельной работы, специальные для конкретной учебной дисциплины или профессионального модуля.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планировании заданий для внеаудиторной самостоятельной работы используются следующие типы самостоятельной работы: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Internet–ресурсы, повторение учебного материала и др.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Одной из важных форм самостоятельной работы студента является работа с литературой ко всем видам занятий: лабораторным, семинарским, практическим, при подготовке к экзаменам, тестированию, участию в научных конференциях.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т.д.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pPr>
        <w:pStyle w:val="Normal"/>
        <w:spacing w:lineRule="auto" w:line="276"/>
        <w:rPr>
          <w:rFonts w:ascii="Times New Roman" w:hAnsi="Times New Roman" w:cs="Times New Roman"/>
          <w:b/>
          <w:b/>
          <w:sz w:val="24"/>
          <w:szCs w:val="24"/>
        </w:rPr>
      </w:pPr>
      <w:r>
        <w:rPr>
          <w:rFonts w:cs="Times New Roman" w:ascii="Times New Roman" w:hAnsi="Times New Roman"/>
          <w:b/>
          <w:sz w:val="24"/>
          <w:szCs w:val="24"/>
        </w:rPr>
      </w:r>
      <w:r>
        <w:br w:type="page"/>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Типовые задания для самостоятельной работы</w:t>
      </w:r>
    </w:p>
    <w:p>
      <w:pPr>
        <w:pStyle w:val="Normal"/>
        <w:spacing w:lineRule="auto" w:line="240"/>
        <w:jc w:val="center"/>
        <w:rPr>
          <w:sz w:val="24"/>
          <w:szCs w:val="24"/>
          <w:u w:val="single"/>
        </w:rPr>
      </w:pPr>
      <w:r>
        <w:rPr>
          <w:sz w:val="24"/>
          <w:szCs w:val="24"/>
          <w:u w:val="single"/>
        </w:rPr>
        <w:t>Раздел 1.1</w:t>
      </w:r>
    </w:p>
    <w:p>
      <w:pPr>
        <w:pStyle w:val="Normal"/>
        <w:spacing w:lineRule="auto" w:line="240"/>
        <w:jc w:val="center"/>
        <w:rPr>
          <w:sz w:val="24"/>
          <w:szCs w:val="24"/>
          <w:u w:val="single"/>
        </w:rPr>
      </w:pPr>
      <w:r>
        <w:rPr>
          <w:sz w:val="24"/>
          <w:szCs w:val="24"/>
          <w:u w:val="single"/>
        </w:rPr>
        <w:t>Общая характеристика радиотехнических процессов, сигналов и цепей</w:t>
      </w:r>
    </w:p>
    <w:p>
      <w:pPr>
        <w:pStyle w:val="Style25"/>
        <w:numPr>
          <w:ilvl w:val="0"/>
          <w:numId w:val="2"/>
        </w:numPr>
        <w:spacing w:lineRule="auto" w:line="240"/>
        <w:rPr/>
      </w:pPr>
      <w:r>
        <w:rPr>
          <w:sz w:val="24"/>
          <w:szCs w:val="24"/>
        </w:rPr>
        <w:t>Понятие радиотехники и радиоэлектроники. Основная задача и области применения радиотехники.</w:t>
      </w:r>
    </w:p>
    <w:p>
      <w:pPr>
        <w:pStyle w:val="Style25"/>
        <w:numPr>
          <w:ilvl w:val="0"/>
          <w:numId w:val="2"/>
        </w:numPr>
        <w:spacing w:lineRule="auto" w:line="240"/>
        <w:rPr>
          <w:sz w:val="24"/>
          <w:szCs w:val="24"/>
        </w:rPr>
      </w:pPr>
      <w:r>
        <w:rPr>
          <w:sz w:val="24"/>
          <w:szCs w:val="24"/>
        </w:rPr>
        <w:t>Структурная схема радиоканала связи.</w:t>
      </w:r>
    </w:p>
    <w:p>
      <w:pPr>
        <w:pStyle w:val="Style25"/>
        <w:numPr>
          <w:ilvl w:val="0"/>
          <w:numId w:val="2"/>
        </w:numPr>
        <w:spacing w:lineRule="auto" w:line="240"/>
        <w:rPr/>
      </w:pPr>
      <w:r>
        <w:rPr>
          <w:sz w:val="24"/>
          <w:szCs w:val="24"/>
        </w:rPr>
        <w:t>Особенности распространения радиоволн различной длины и используемые в радиотехнике частоты.</w:t>
      </w:r>
    </w:p>
    <w:p>
      <w:pPr>
        <w:pStyle w:val="Normal"/>
        <w:spacing w:lineRule="auto" w:line="240"/>
        <w:jc w:val="center"/>
        <w:rPr>
          <w:sz w:val="24"/>
          <w:szCs w:val="24"/>
          <w:u w:val="single"/>
        </w:rPr>
      </w:pPr>
      <w:r>
        <w:rPr>
          <w:sz w:val="24"/>
          <w:szCs w:val="24"/>
          <w:u w:val="single"/>
        </w:rPr>
        <w:t>Раздел 1.2</w:t>
      </w:r>
    </w:p>
    <w:p>
      <w:pPr>
        <w:pStyle w:val="Normal"/>
        <w:spacing w:lineRule="auto" w:line="240"/>
        <w:jc w:val="center"/>
        <w:rPr>
          <w:sz w:val="24"/>
          <w:szCs w:val="24"/>
          <w:u w:val="single"/>
        </w:rPr>
      </w:pPr>
      <w:r>
        <w:rPr>
          <w:sz w:val="24"/>
          <w:szCs w:val="24"/>
          <w:u w:val="single"/>
        </w:rPr>
        <w:t>Детерминированные сигналы и их основные характеристики</w:t>
      </w:r>
    </w:p>
    <w:p>
      <w:pPr>
        <w:pStyle w:val="Normal"/>
        <w:widowControl/>
        <w:numPr>
          <w:ilvl w:val="0"/>
          <w:numId w:val="3"/>
        </w:numPr>
        <w:spacing w:lineRule="auto" w:line="240"/>
        <w:rPr>
          <w:sz w:val="24"/>
          <w:szCs w:val="24"/>
        </w:rPr>
      </w:pPr>
      <w:r>
        <w:rPr>
          <w:sz w:val="24"/>
          <w:szCs w:val="24"/>
        </w:rPr>
        <w:t>Понятия колебания и сигнала;</w:t>
      </w:r>
    </w:p>
    <w:p>
      <w:pPr>
        <w:pStyle w:val="Normal"/>
        <w:widowControl/>
        <w:numPr>
          <w:ilvl w:val="0"/>
          <w:numId w:val="3"/>
        </w:numPr>
        <w:spacing w:lineRule="auto" w:line="240"/>
        <w:rPr>
          <w:sz w:val="24"/>
          <w:szCs w:val="24"/>
        </w:rPr>
      </w:pPr>
      <w:r>
        <w:rPr>
          <w:sz w:val="24"/>
          <w:szCs w:val="24"/>
        </w:rPr>
        <w:t>Гармоническое колебания и способы его представления;</w:t>
      </w:r>
    </w:p>
    <w:p>
      <w:pPr>
        <w:pStyle w:val="Normal"/>
        <w:widowControl/>
        <w:numPr>
          <w:ilvl w:val="0"/>
          <w:numId w:val="3"/>
        </w:numPr>
        <w:spacing w:lineRule="auto" w:line="240"/>
        <w:rPr/>
      </w:pPr>
      <w:r>
        <w:rPr>
          <w:sz w:val="24"/>
          <w:szCs w:val="24"/>
        </w:rPr>
        <w:t>Гармонический анализ периодического колебания (разложение периодического колебания в ряд Фурье по тригонометрическим функциям);</w:t>
      </w:r>
    </w:p>
    <w:p>
      <w:pPr>
        <w:pStyle w:val="Normal"/>
        <w:widowControl/>
        <w:numPr>
          <w:ilvl w:val="0"/>
          <w:numId w:val="3"/>
        </w:numPr>
        <w:spacing w:lineRule="auto" w:line="240"/>
        <w:rPr>
          <w:sz w:val="24"/>
          <w:szCs w:val="24"/>
        </w:rPr>
      </w:pPr>
      <w:r>
        <w:rPr>
          <w:sz w:val="24"/>
          <w:szCs w:val="24"/>
        </w:rPr>
        <w:t>Представление периодического колебания рядом Фурье в комплексной форме;</w:t>
      </w:r>
    </w:p>
    <w:p>
      <w:pPr>
        <w:pStyle w:val="Normal"/>
        <w:widowControl/>
        <w:numPr>
          <w:ilvl w:val="0"/>
          <w:numId w:val="3"/>
        </w:numPr>
        <w:spacing w:lineRule="auto" w:line="240"/>
        <w:rPr>
          <w:sz w:val="24"/>
          <w:szCs w:val="24"/>
        </w:rPr>
      </w:pPr>
      <w:r>
        <w:rPr>
          <w:sz w:val="24"/>
          <w:szCs w:val="24"/>
        </w:rPr>
        <w:t>Спектральный анализ импульсного колебания. Прямое и обратное преобразование Фурье;</w:t>
      </w:r>
    </w:p>
    <w:p>
      <w:pPr>
        <w:pStyle w:val="Normal"/>
        <w:widowControl/>
        <w:numPr>
          <w:ilvl w:val="0"/>
          <w:numId w:val="3"/>
        </w:numPr>
        <w:spacing w:lineRule="auto" w:line="240"/>
        <w:rPr>
          <w:sz w:val="24"/>
          <w:szCs w:val="24"/>
        </w:rPr>
      </w:pPr>
      <w:r>
        <w:rPr>
          <w:sz w:val="24"/>
          <w:szCs w:val="24"/>
        </w:rPr>
        <w:t>Свойства преобразования Фурье;</w:t>
      </w:r>
    </w:p>
    <w:p>
      <w:pPr>
        <w:pStyle w:val="Normal"/>
        <w:widowControl/>
        <w:numPr>
          <w:ilvl w:val="0"/>
          <w:numId w:val="3"/>
        </w:numPr>
        <w:spacing w:lineRule="auto" w:line="240"/>
        <w:rPr>
          <w:sz w:val="24"/>
          <w:szCs w:val="24"/>
        </w:rPr>
      </w:pPr>
      <w:r>
        <w:rPr>
          <w:sz w:val="24"/>
          <w:szCs w:val="24"/>
        </w:rPr>
        <w:t>Распределение энергии в спектре импульсного колебания;</w:t>
      </w:r>
    </w:p>
    <w:p>
      <w:pPr>
        <w:pStyle w:val="Normal"/>
        <w:widowControl/>
        <w:numPr>
          <w:ilvl w:val="0"/>
          <w:numId w:val="3"/>
        </w:numPr>
        <w:spacing w:lineRule="auto" w:line="240"/>
        <w:rPr/>
      </w:pPr>
      <w:r>
        <w:rPr>
          <w:sz w:val="24"/>
          <w:szCs w:val="24"/>
        </w:rPr>
        <w:t>Соотношение между длительностью импульса и шириной его спектра;</w:t>
      </w:r>
    </w:p>
    <w:p>
      <w:pPr>
        <w:pStyle w:val="Normal"/>
        <w:widowControl/>
        <w:numPr>
          <w:ilvl w:val="0"/>
          <w:numId w:val="3"/>
        </w:numPr>
        <w:spacing w:lineRule="auto" w:line="240"/>
        <w:rPr/>
      </w:pPr>
      <w:r>
        <w:rPr>
          <w:sz w:val="24"/>
          <w:szCs w:val="24"/>
        </w:rPr>
        <w:t>Радиосигнал, как колебание с медленноменяющимися огибающей и фазой;</w:t>
      </w:r>
    </w:p>
    <w:p>
      <w:pPr>
        <w:pStyle w:val="Normal"/>
        <w:widowControl/>
        <w:numPr>
          <w:ilvl w:val="0"/>
          <w:numId w:val="3"/>
        </w:numPr>
        <w:spacing w:lineRule="auto" w:line="240"/>
        <w:rPr>
          <w:sz w:val="24"/>
          <w:szCs w:val="24"/>
        </w:rPr>
      </w:pPr>
      <w:r>
        <w:rPr>
          <w:sz w:val="24"/>
          <w:szCs w:val="24"/>
        </w:rPr>
        <w:t>Радиосигнал с амплитудной модуляцией (АМ);</w:t>
      </w:r>
    </w:p>
    <w:p>
      <w:pPr>
        <w:pStyle w:val="Normal"/>
        <w:widowControl/>
        <w:numPr>
          <w:ilvl w:val="0"/>
          <w:numId w:val="3"/>
        </w:numPr>
        <w:spacing w:lineRule="auto" w:line="240"/>
        <w:rPr>
          <w:sz w:val="24"/>
          <w:szCs w:val="24"/>
        </w:rPr>
      </w:pPr>
      <w:r>
        <w:rPr>
          <w:sz w:val="24"/>
          <w:szCs w:val="24"/>
        </w:rPr>
        <w:t>Распределение мощности в спектре радиосигнала с гармонической (АМ);</w:t>
      </w:r>
    </w:p>
    <w:p>
      <w:pPr>
        <w:pStyle w:val="Normal"/>
        <w:widowControl/>
        <w:numPr>
          <w:ilvl w:val="0"/>
          <w:numId w:val="3"/>
        </w:numPr>
        <w:spacing w:lineRule="auto" w:line="240"/>
        <w:rPr>
          <w:sz w:val="24"/>
          <w:szCs w:val="24"/>
        </w:rPr>
      </w:pPr>
      <w:r>
        <w:rPr>
          <w:sz w:val="24"/>
          <w:szCs w:val="24"/>
        </w:rPr>
        <w:t>Радиосигнал с АМ несколькими гармоническими колебаниями;</w:t>
      </w:r>
    </w:p>
    <w:p>
      <w:pPr>
        <w:pStyle w:val="Normal"/>
        <w:widowControl/>
        <w:numPr>
          <w:ilvl w:val="0"/>
          <w:numId w:val="3"/>
        </w:numPr>
        <w:spacing w:lineRule="auto" w:line="240"/>
        <w:rPr>
          <w:sz w:val="24"/>
          <w:szCs w:val="24"/>
        </w:rPr>
      </w:pPr>
      <w:r>
        <w:rPr>
          <w:sz w:val="24"/>
          <w:szCs w:val="24"/>
        </w:rPr>
        <w:t>Радиосигнал с АМ импульсным колебанием;</w:t>
      </w:r>
    </w:p>
    <w:p>
      <w:pPr>
        <w:pStyle w:val="Normal"/>
        <w:widowControl/>
        <w:numPr>
          <w:ilvl w:val="0"/>
          <w:numId w:val="3"/>
        </w:numPr>
        <w:spacing w:lineRule="auto" w:line="240"/>
        <w:jc w:val="both"/>
        <w:rPr>
          <w:sz w:val="24"/>
          <w:szCs w:val="24"/>
        </w:rPr>
      </w:pPr>
      <w:r>
        <w:rPr>
          <w:sz w:val="24"/>
          <w:szCs w:val="24"/>
        </w:rPr>
        <w:t>Понятие угловой модуляции. ЧМК и ФМК. Радиосигнал с гармонической угловой модуляцией (УМ);</w:t>
      </w:r>
    </w:p>
    <w:p>
      <w:pPr>
        <w:pStyle w:val="Normal"/>
        <w:widowControl/>
        <w:numPr>
          <w:ilvl w:val="0"/>
          <w:numId w:val="3"/>
        </w:numPr>
        <w:spacing w:lineRule="auto" w:line="240"/>
        <w:rPr>
          <w:sz w:val="24"/>
          <w:szCs w:val="24"/>
        </w:rPr>
      </w:pPr>
      <w:r>
        <w:rPr>
          <w:sz w:val="24"/>
          <w:szCs w:val="24"/>
        </w:rPr>
        <w:t>Спектр Радиосигнала с гармонической угловой модуляцией.</w:t>
      </w:r>
    </w:p>
    <w:p>
      <w:pPr>
        <w:pStyle w:val="Normal"/>
        <w:widowControl/>
        <w:spacing w:lineRule="auto" w:line="240"/>
        <w:jc w:val="center"/>
        <w:rPr>
          <w:b/>
          <w:b/>
          <w:sz w:val="24"/>
          <w:szCs w:val="24"/>
        </w:rPr>
      </w:pPr>
      <w:r>
        <w:rPr/>
      </w:r>
    </w:p>
    <w:p>
      <w:pPr>
        <w:pStyle w:val="Normal"/>
        <w:spacing w:lineRule="auto" w:line="240"/>
        <w:jc w:val="center"/>
        <w:rPr>
          <w:sz w:val="24"/>
          <w:szCs w:val="24"/>
          <w:u w:val="single"/>
        </w:rPr>
      </w:pPr>
      <w:r>
        <w:rPr>
          <w:sz w:val="24"/>
          <w:szCs w:val="24"/>
          <w:u w:val="single"/>
        </w:rPr>
        <w:t>Раздел 2.1</w:t>
      </w:r>
    </w:p>
    <w:p>
      <w:pPr>
        <w:pStyle w:val="Normal"/>
        <w:suppressAutoHyphens w:val="true"/>
        <w:spacing w:lineRule="auto" w:line="240"/>
        <w:ind w:firstLine="397"/>
        <w:jc w:val="center"/>
        <w:rPr>
          <w:sz w:val="24"/>
          <w:szCs w:val="24"/>
          <w:u w:val="single"/>
        </w:rPr>
      </w:pPr>
      <w:r>
        <w:rPr>
          <w:sz w:val="24"/>
          <w:szCs w:val="24"/>
          <w:u w:val="single"/>
        </w:rPr>
        <w:t>Прохождение детерминированного сигнала через линейную радиотехническую цепь (РТЦ)</w:t>
      </w:r>
    </w:p>
    <w:p>
      <w:pPr>
        <w:pStyle w:val="Style25"/>
        <w:widowControl/>
        <w:numPr>
          <w:ilvl w:val="0"/>
          <w:numId w:val="4"/>
        </w:numPr>
        <w:spacing w:lineRule="auto" w:line="240"/>
        <w:rPr>
          <w:sz w:val="24"/>
          <w:szCs w:val="24"/>
        </w:rPr>
      </w:pPr>
      <w:r>
        <w:rPr>
          <w:sz w:val="24"/>
          <w:szCs w:val="24"/>
        </w:rPr>
        <w:t>Понятие линейной РТЦ. Основные параметры и характеристики;</w:t>
      </w:r>
    </w:p>
    <w:p>
      <w:pPr>
        <w:pStyle w:val="Style25"/>
        <w:widowControl/>
        <w:numPr>
          <w:ilvl w:val="0"/>
          <w:numId w:val="4"/>
        </w:numPr>
        <w:spacing w:lineRule="auto" w:line="240"/>
        <w:rPr/>
      </w:pPr>
      <w:r>
        <w:rPr>
          <w:sz w:val="24"/>
          <w:szCs w:val="24"/>
        </w:rPr>
        <w:t>Основные методы анализа прохождения детерминированного сигнала через линейную цепь;</w:t>
      </w:r>
    </w:p>
    <w:p>
      <w:pPr>
        <w:pStyle w:val="Style25"/>
        <w:widowControl/>
        <w:numPr>
          <w:ilvl w:val="0"/>
          <w:numId w:val="4"/>
        </w:numPr>
        <w:spacing w:lineRule="auto" w:line="240"/>
        <w:rPr>
          <w:sz w:val="24"/>
          <w:szCs w:val="24"/>
        </w:rPr>
      </w:pPr>
      <w:r>
        <w:rPr>
          <w:sz w:val="24"/>
          <w:szCs w:val="24"/>
        </w:rPr>
        <w:t>Условия неискаженного прохождения детерминированного сигнала через линейную РТЦ;</w:t>
      </w:r>
    </w:p>
    <w:p>
      <w:pPr>
        <w:pStyle w:val="Style25"/>
        <w:widowControl/>
        <w:numPr>
          <w:ilvl w:val="0"/>
          <w:numId w:val="4"/>
        </w:numPr>
        <w:spacing w:lineRule="auto" w:line="240"/>
        <w:rPr/>
      </w:pPr>
      <w:r>
        <w:rPr>
          <w:sz w:val="24"/>
          <w:szCs w:val="24"/>
        </w:rPr>
        <w:t>Понятие усиления колебания. Схемы замещения линейного усилителя;</w:t>
      </w:r>
    </w:p>
    <w:p>
      <w:pPr>
        <w:pStyle w:val="Style25"/>
        <w:widowControl/>
        <w:numPr>
          <w:ilvl w:val="0"/>
          <w:numId w:val="4"/>
        </w:numPr>
        <w:spacing w:lineRule="auto" w:line="240"/>
        <w:rPr/>
      </w:pPr>
      <w:r>
        <w:rPr>
          <w:sz w:val="24"/>
          <w:szCs w:val="24"/>
        </w:rPr>
        <w:t>Линейный резонансный усилитель (ЛРУ) и его основные характеристики;</w:t>
      </w:r>
    </w:p>
    <w:p>
      <w:pPr>
        <w:pStyle w:val="Style25"/>
        <w:widowControl/>
        <w:numPr>
          <w:ilvl w:val="0"/>
          <w:numId w:val="4"/>
        </w:numPr>
        <w:spacing w:lineRule="auto" w:line="240"/>
        <w:rPr/>
      </w:pPr>
      <w:r>
        <w:rPr>
          <w:sz w:val="24"/>
          <w:szCs w:val="24"/>
        </w:rPr>
        <w:t>Прохождение радиосигнала с гармонической АМ через линейный резонансный усилитель;</w:t>
      </w:r>
    </w:p>
    <w:p>
      <w:pPr>
        <w:pStyle w:val="Style25"/>
        <w:widowControl/>
        <w:numPr>
          <w:ilvl w:val="0"/>
          <w:numId w:val="4"/>
        </w:numPr>
        <w:spacing w:lineRule="auto" w:line="240"/>
        <w:rPr/>
      </w:pPr>
      <w:r>
        <w:rPr>
          <w:sz w:val="24"/>
          <w:szCs w:val="24"/>
        </w:rPr>
        <w:t>Прохождение прямоугольного радиоимпульса через линейный резонансный усилитель.</w:t>
      </w:r>
    </w:p>
    <w:p>
      <w:pPr>
        <w:pStyle w:val="Style25"/>
        <w:widowControl/>
        <w:spacing w:lineRule="auto" w:line="240"/>
        <w:ind w:left="1120" w:hanging="0"/>
        <w:rPr>
          <w:sz w:val="24"/>
          <w:szCs w:val="24"/>
        </w:rPr>
      </w:pPr>
      <w:r>
        <w:rPr>
          <w:sz w:val="24"/>
          <w:szCs w:val="24"/>
        </w:rPr>
      </w:r>
    </w:p>
    <w:p>
      <w:pPr>
        <w:pStyle w:val="Normal"/>
        <w:spacing w:lineRule="auto" w:line="240"/>
        <w:jc w:val="center"/>
        <w:rPr>
          <w:sz w:val="24"/>
          <w:szCs w:val="24"/>
          <w:u w:val="single"/>
        </w:rPr>
      </w:pPr>
      <w:r>
        <w:rPr>
          <w:sz w:val="24"/>
          <w:szCs w:val="24"/>
          <w:u w:val="single"/>
        </w:rPr>
        <w:t>Раздел 2.2</w:t>
      </w:r>
    </w:p>
    <w:p>
      <w:pPr>
        <w:pStyle w:val="Normal"/>
        <w:spacing w:lineRule="auto" w:line="240"/>
        <w:jc w:val="center"/>
        <w:rPr>
          <w:sz w:val="24"/>
          <w:szCs w:val="24"/>
          <w:u w:val="single"/>
        </w:rPr>
      </w:pPr>
      <w:r>
        <w:rPr>
          <w:sz w:val="24"/>
          <w:szCs w:val="24"/>
          <w:u w:val="single"/>
        </w:rPr>
        <w:t xml:space="preserve">Нелинейные радиотехнические цепи. Методы анализа. Применение. </w:t>
      </w:r>
    </w:p>
    <w:p>
      <w:pPr>
        <w:pStyle w:val="Normal"/>
        <w:widowControl/>
        <w:numPr>
          <w:ilvl w:val="0"/>
          <w:numId w:val="1"/>
        </w:numPr>
        <w:spacing w:lineRule="auto" w:line="240"/>
        <w:jc w:val="both"/>
        <w:rPr/>
      </w:pPr>
      <w:r>
        <w:rPr>
          <w:sz w:val="24"/>
          <w:szCs w:val="24"/>
        </w:rPr>
        <w:t>Понятие нелинейной РТЦ. Нелинейные элементы и  методы аппроксимации их характеристик;</w:t>
      </w:r>
    </w:p>
    <w:p>
      <w:pPr>
        <w:pStyle w:val="Normal"/>
        <w:widowControl/>
        <w:numPr>
          <w:ilvl w:val="0"/>
          <w:numId w:val="1"/>
        </w:numPr>
        <w:spacing w:lineRule="auto" w:line="240"/>
        <w:rPr/>
      </w:pPr>
      <w:r>
        <w:rPr>
          <w:sz w:val="24"/>
          <w:szCs w:val="24"/>
        </w:rPr>
        <w:t>Преобразование спектра сигнала нелинейным резистивным элементом при аппроксимации  ВАХ степенным полиномом;</w:t>
      </w:r>
    </w:p>
    <w:p>
      <w:pPr>
        <w:pStyle w:val="Normal"/>
        <w:widowControl/>
        <w:numPr>
          <w:ilvl w:val="0"/>
          <w:numId w:val="1"/>
        </w:numPr>
        <w:spacing w:lineRule="auto" w:line="240"/>
        <w:rPr>
          <w:sz w:val="24"/>
          <w:szCs w:val="24"/>
        </w:rPr>
      </w:pPr>
      <w:r>
        <w:rPr>
          <w:sz w:val="24"/>
          <w:szCs w:val="24"/>
        </w:rPr>
        <w:t>Преобразование спектра сигнала нелинейным резистивным элементом при кусочно-линейной аппроксимации  ВАХ;</w:t>
      </w:r>
    </w:p>
    <w:p>
      <w:pPr>
        <w:pStyle w:val="Style25"/>
        <w:numPr>
          <w:ilvl w:val="0"/>
          <w:numId w:val="1"/>
        </w:numPr>
        <w:spacing w:lineRule="auto" w:line="240"/>
        <w:rPr>
          <w:sz w:val="24"/>
          <w:szCs w:val="24"/>
        </w:rPr>
      </w:pPr>
      <w:r>
        <w:rPr>
          <w:sz w:val="24"/>
          <w:szCs w:val="24"/>
        </w:rPr>
        <w:t>Нелинейное резонансное усиление колебаний;</w:t>
      </w:r>
    </w:p>
    <w:p>
      <w:pPr>
        <w:pStyle w:val="Style25"/>
        <w:numPr>
          <w:ilvl w:val="0"/>
          <w:numId w:val="1"/>
        </w:numPr>
        <w:spacing w:lineRule="auto" w:line="240"/>
        <w:rPr/>
      </w:pPr>
      <w:r>
        <w:rPr>
          <w:sz w:val="24"/>
          <w:szCs w:val="24"/>
        </w:rPr>
        <w:t>Применение нелинейной РТЦ для умножения частоты колебаний (умножитель частоты);</w:t>
      </w:r>
    </w:p>
    <w:p>
      <w:pPr>
        <w:pStyle w:val="Style25"/>
        <w:numPr>
          <w:ilvl w:val="0"/>
          <w:numId w:val="1"/>
        </w:numPr>
        <w:spacing w:lineRule="auto" w:line="240"/>
        <w:rPr/>
      </w:pPr>
      <w:r>
        <w:rPr>
          <w:sz w:val="24"/>
          <w:szCs w:val="24"/>
        </w:rPr>
        <w:t>Применение нелинейной РТЦ для получения АМК (амплитудный модулятор смещением);</w:t>
      </w:r>
    </w:p>
    <w:p>
      <w:pPr>
        <w:pStyle w:val="Style25"/>
        <w:numPr>
          <w:ilvl w:val="0"/>
          <w:numId w:val="1"/>
        </w:numPr>
        <w:spacing w:lineRule="auto" w:line="240"/>
        <w:rPr>
          <w:sz w:val="24"/>
          <w:szCs w:val="24"/>
        </w:rPr>
      </w:pPr>
      <w:r>
        <w:rPr>
          <w:sz w:val="24"/>
          <w:szCs w:val="24"/>
        </w:rPr>
        <w:t>Применение нелинейной РТЦ для детектирования АМК;</w:t>
      </w:r>
    </w:p>
    <w:p>
      <w:pPr>
        <w:pStyle w:val="Style25"/>
        <w:numPr>
          <w:ilvl w:val="0"/>
          <w:numId w:val="1"/>
        </w:numPr>
        <w:spacing w:lineRule="auto" w:line="240"/>
        <w:rPr>
          <w:sz w:val="24"/>
          <w:szCs w:val="24"/>
        </w:rPr>
      </w:pPr>
      <w:r>
        <w:rPr>
          <w:rFonts w:cs="Times New Roman" w:ascii="Times New Roman" w:hAnsi="Times New Roman"/>
          <w:sz w:val="24"/>
          <w:szCs w:val="24"/>
        </w:rPr>
        <w:t>Применение нелинейной РТЦ для детектирования ФМК (фазовый детектор).</w:t>
      </w:r>
    </w:p>
    <w:p>
      <w:pPr>
        <w:pStyle w:val="Normal"/>
        <w:spacing w:lineRule="auto" w:line="276"/>
        <w:rPr>
          <w:rFonts w:ascii="Times New Roman" w:hAnsi="Times New Roman" w:cs="Times New Roman"/>
          <w:b/>
          <w:b/>
          <w:sz w:val="24"/>
          <w:szCs w:val="24"/>
        </w:rPr>
      </w:pPr>
      <w:r>
        <w:rPr>
          <w:rFonts w:cs="Times New Roman" w:ascii="Times New Roman" w:hAnsi="Times New Roman"/>
          <w:b/>
          <w:sz w:val="24"/>
          <w:szCs w:val="24"/>
        </w:rPr>
      </w:r>
      <w:r>
        <w:br w:type="page"/>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Библиографический список</w:t>
      </w:r>
    </w:p>
    <w:p>
      <w:pPr>
        <w:pStyle w:val="Normal"/>
        <w:spacing w:lineRule="auto" w:line="276" w:before="0" w:after="0"/>
        <w:ind w:firstLine="709"/>
        <w:jc w:val="both"/>
        <w:rPr>
          <w:rFonts w:ascii="Times New Roman" w:hAnsi="Times New Roman"/>
          <w:sz w:val="24"/>
          <w:szCs w:val="24"/>
          <w:lang w:val="en-US"/>
        </w:rPr>
      </w:pPr>
      <w:r>
        <w:rPr>
          <w:rFonts w:ascii="Times New Roman" w:hAnsi="Times New Roman"/>
          <w:sz w:val="24"/>
          <w:szCs w:val="24"/>
          <w:lang w:val="en-US"/>
        </w:rPr>
        <w:t>1. Под ред. проф. А.Н. Яковлева. – Новосибирск: Изд-во НГТУ, 2002. – 348 с..(Серия «Учебники НГТУ»).</w:t>
      </w:r>
    </w:p>
    <w:p>
      <w:pPr>
        <w:pStyle w:val="Normal"/>
        <w:spacing w:lineRule="auto" w:line="276" w:before="0" w:after="0"/>
        <w:ind w:firstLine="709"/>
        <w:jc w:val="both"/>
        <w:rPr>
          <w:rFonts w:ascii="Times New Roman" w:hAnsi="Times New Roman"/>
          <w:sz w:val="24"/>
          <w:szCs w:val="24"/>
          <w:lang w:val="ru-RU"/>
        </w:rPr>
      </w:pPr>
      <w:r>
        <w:rPr>
          <w:rFonts w:ascii="Times New Roman" w:hAnsi="Times New Roman"/>
          <w:sz w:val="24"/>
          <w:szCs w:val="24"/>
          <w:lang w:val="ru-RU"/>
        </w:rPr>
        <w:t>2. Радиотехнические цепи и сигналы: методические указания к лабораторным работам. Часть I / Рязан. гос. радиотехн. ун-т; сост.: В.В. Авдеев, А.Ю. Линович, С.Л. Соколов, Б.И. Филимонов; под ред. Б.И. Филимонова. — Рязань, 2017. — 48 с.</w:t>
      </w:r>
    </w:p>
    <w:p>
      <w:pPr>
        <w:pStyle w:val="Normal"/>
        <w:spacing w:lineRule="auto" w:line="276" w:before="0" w:after="0"/>
        <w:ind w:firstLine="709"/>
        <w:jc w:val="both"/>
        <w:rPr>
          <w:rFonts w:ascii="Times New Roman" w:hAnsi="Times New Roman" w:cs="Times New Roman"/>
          <w:sz w:val="24"/>
          <w:szCs w:val="24"/>
        </w:rPr>
      </w:pPr>
      <w:r>
        <w:rPr>
          <w:rFonts w:ascii="Times New Roman" w:hAnsi="Times New Roman"/>
          <w:sz w:val="24"/>
          <w:szCs w:val="24"/>
          <w:lang w:val="ru-RU"/>
        </w:rPr>
        <w:t>3. Радиотехнические цепи и сигналы: методические указания к лабораторным работам. Часть II / Рязан. гос. радиотехн. ун-т; сост.: В.В. Авдеев, А.Ю. Линович, С.Л. Соколов, Б.И. Филимонов; под ред. Б.И. Филимонова. — Рязань, 2017. — 60 с.</w:t>
      </w:r>
    </w:p>
    <w:sectPr>
      <w:footerReference w:type="default" r:id="rId2"/>
      <w:type w:val="nextPage"/>
      <w:pgSz w:w="11906" w:h="16838"/>
      <w:pgMar w:left="1701" w:right="850" w:header="0" w:top="1134" w:footer="708" w:bottom="1134"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737001108"/>
    </w:sdtPr>
    <w:sdtContent>
      <w:p>
        <w:pPr>
          <w:pStyle w:val="Style24"/>
          <w:jc w:val="center"/>
          <w:rPr/>
        </w:pPr>
        <w:r>
          <w:rPr/>
          <w:fldChar w:fldCharType="begin"/>
        </w:r>
        <w:r>
          <w:rPr/>
          <w:instrText> PAGE </w:instrText>
        </w:r>
        <w:r>
          <w:rPr/>
          <w:fldChar w:fldCharType="separate"/>
        </w:r>
        <w:r>
          <w:rPr/>
          <w:t>14</w:t>
        </w:r>
        <w:r>
          <w:rPr/>
          <w:fldChar w:fldCharType="end"/>
        </w:r>
      </w:p>
    </w:sdtContent>
  </w:sdt>
  <w:p>
    <w:pPr>
      <w:pStyle w:val="Style24"/>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1120" w:hanging="360"/>
      </w:pPr>
      <w:rPr>
        <w:sz w:val="24"/>
        <w:szCs w:val="24"/>
      </w:rPr>
    </w:lvl>
  </w:abstractNum>
  <w:abstractNum w:abstractNumId="2">
    <w:lvl w:ilvl="0">
      <w:start w:val="1"/>
      <w:numFmt w:val="decimal"/>
      <w:lvlText w:val="%1."/>
      <w:lvlJc w:val="left"/>
      <w:pPr>
        <w:tabs>
          <w:tab w:val="num" w:pos="0"/>
        </w:tabs>
        <w:ind w:left="1120" w:hanging="360"/>
      </w:pPr>
      <w:rPr>
        <w:sz w:val="24"/>
        <w:szCs w:val="24"/>
      </w:rPr>
    </w:lvl>
  </w:abstractNum>
  <w:abstractNum w:abstractNumId="3">
    <w:lvl w:ilvl="0">
      <w:start w:val="1"/>
      <w:numFmt w:val="decimal"/>
      <w:lvlText w:val="%1."/>
      <w:lvlJc w:val="left"/>
      <w:pPr>
        <w:tabs>
          <w:tab w:val="num" w:pos="0"/>
        </w:tabs>
        <w:ind w:left="1080" w:hanging="360"/>
      </w:pPr>
      <w:rPr>
        <w:sz w:val="24"/>
        <w:szCs w:val="24"/>
      </w:rPr>
    </w:lvl>
  </w:abstractNum>
  <w:abstractNum w:abstractNumId="4">
    <w:lvl w:ilvl="0">
      <w:start w:val="1"/>
      <w:numFmt w:val="decimal"/>
      <w:lvlText w:val="%1."/>
      <w:lvlJc w:val="left"/>
      <w:pPr>
        <w:tabs>
          <w:tab w:val="num" w:pos="0"/>
        </w:tabs>
        <w:ind w:left="1120" w:hanging="360"/>
      </w:pPr>
      <w:rPr>
        <w:sz w:val="24"/>
        <w:szCs w:val="24"/>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85"/>
  <w:defaultTabStop w:val="142"/>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919ce"/>
    <w:pPr>
      <w:widowControl/>
      <w:suppressAutoHyphens w:val="fals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3"/>
    <w:uiPriority w:val="99"/>
    <w:qFormat/>
    <w:rsid w:val="0039756d"/>
    <w:rPr/>
  </w:style>
  <w:style w:type="character" w:styleId="Style15" w:customStyle="1">
    <w:name w:val="Нижний колонтитул Знак"/>
    <w:basedOn w:val="DefaultParagraphFont"/>
    <w:link w:val="a5"/>
    <w:uiPriority w:val="99"/>
    <w:qFormat/>
    <w:rsid w:val="0039756d"/>
    <w:rPr/>
  </w:style>
  <w:style w:type="character" w:styleId="Style16">
    <w:name w:val="Интернет-ссылка"/>
    <w:basedOn w:val="DefaultParagraphFont"/>
    <w:uiPriority w:val="99"/>
    <w:unhideWhenUsed/>
    <w:rsid w:val="003711b6"/>
    <w:rPr>
      <w:color w:val="0563C1" w:themeColor="hyperlink"/>
      <w:u w:val="single"/>
    </w:rPr>
  </w:style>
  <w:style w:type="character" w:styleId="WW8Num9z0">
    <w:name w:val="WW8Num9z0"/>
    <w:qFormat/>
    <w:rPr>
      <w:sz w:val="24"/>
      <w:szCs w:val="24"/>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sz w:val="24"/>
      <w:szCs w:val="24"/>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sz w:val="24"/>
      <w:szCs w:val="24"/>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7z0">
    <w:name w:val="WW8Num7z0"/>
    <w:qFormat/>
    <w:rPr>
      <w:sz w:val="24"/>
      <w:szCs w:val="24"/>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rPr>
  </w:style>
  <w:style w:type="paragraph" w:styleId="Style22">
    <w:name w:val="Верхний и нижний колонтитулы"/>
    <w:basedOn w:val="Normal"/>
    <w:qFormat/>
    <w:pPr/>
    <w:rPr/>
  </w:style>
  <w:style w:type="paragraph" w:styleId="Style23">
    <w:name w:val="Header"/>
    <w:basedOn w:val="Normal"/>
    <w:link w:val="a4"/>
    <w:uiPriority w:val="99"/>
    <w:unhideWhenUsed/>
    <w:rsid w:val="0039756d"/>
    <w:pPr>
      <w:tabs>
        <w:tab w:val="clear" w:pos="142"/>
        <w:tab w:val="center" w:pos="4677" w:leader="none"/>
        <w:tab w:val="right" w:pos="9355" w:leader="none"/>
      </w:tabs>
      <w:spacing w:lineRule="auto" w:line="240" w:before="0" w:after="0"/>
    </w:pPr>
    <w:rPr/>
  </w:style>
  <w:style w:type="paragraph" w:styleId="Style24">
    <w:name w:val="Footer"/>
    <w:basedOn w:val="Normal"/>
    <w:link w:val="a6"/>
    <w:uiPriority w:val="99"/>
    <w:unhideWhenUsed/>
    <w:rsid w:val="0039756d"/>
    <w:pPr>
      <w:tabs>
        <w:tab w:val="clear" w:pos="142"/>
        <w:tab w:val="center" w:pos="4677" w:leader="none"/>
        <w:tab w:val="right" w:pos="9355" w:leader="none"/>
      </w:tabs>
      <w:spacing w:lineRule="auto" w:line="240" w:before="0" w:after="0"/>
    </w:pPr>
    <w:rPr/>
  </w:style>
  <w:style w:type="paragraph" w:styleId="Style25">
    <w:name w:val="Абзац списка"/>
    <w:basedOn w:val="Normal"/>
    <w:qFormat/>
    <w:pPr>
      <w:spacing w:before="0" w:after="0"/>
      <w:ind w:left="720" w:firstLine="760"/>
      <w:contextualSpacing/>
    </w:pPr>
    <w:rPr/>
  </w:style>
  <w:style w:type="numbering" w:styleId="NoList" w:default="1">
    <w:name w:val="No List"/>
    <w:uiPriority w:val="99"/>
    <w:semiHidden/>
    <w:unhideWhenUsed/>
    <w:qFormat/>
  </w:style>
  <w:style w:type="numbering" w:styleId="WW8Num9">
    <w:name w:val="WW8Num9"/>
    <w:qFormat/>
  </w:style>
  <w:style w:type="numbering" w:styleId="WW8Num10">
    <w:name w:val="WW8Num10"/>
    <w:qFormat/>
  </w:style>
  <w:style w:type="numbering" w:styleId="WW8Num11">
    <w:name w:val="WW8Num11"/>
    <w:qFormat/>
  </w:style>
  <w:style w:type="numbering" w:styleId="WW8Num7">
    <w:name w:val="WW8Num7"/>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0E388F-C2C6-4B01-A3B8-345CE7A96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LibreOffice/6.4.7.2$Windows_X86_64 LibreOffice_project/639b8ac485750d5696d7590a72ef1b496725cfb5</Application>
  <Pages>14</Pages>
  <Words>4203</Words>
  <Characters>29759</Characters>
  <CharactersWithSpaces>33941</CharactersWithSpaces>
  <Paragraphs>194</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2021-11-02T09:42:00Z</dcterms:created>
  <dc:creator>Лидия</dc:creator>
  <dc:description/>
  <dc:language>ru-RU</dc:language>
  <cp:lastModifiedBy/>
  <dcterms:modified xsi:type="dcterms:W3CDTF">2021-11-23T15:23:55Z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