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true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МИНИСТЕРСТВО НАУКИ И ВЫСШЕГО ОБРАЗОВАНИЯ РОССИЙСКОЙ ФЕДЕРАЦИИ</w:t>
      </w:r>
    </w:p>
    <w:p>
      <w:pPr>
        <w:pStyle w:val="Normal"/>
        <w:spacing w:before="0" w:after="5"/>
        <w:ind w:left="5" w:hanging="0"/>
        <w:jc w:val="center"/>
        <w:rPr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zh-CN"/>
        </w:rPr>
      </w:r>
    </w:p>
    <w:p>
      <w:pPr>
        <w:pStyle w:val="Normal"/>
        <w:spacing w:before="0" w:after="5"/>
        <w:ind w:left="5" w:hanging="0"/>
        <w:jc w:val="center"/>
        <w:rPr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zh-CN"/>
        </w:rPr>
        <w:t>ФЕДЕРАЛЬНОЕ ГОСУДАРСТВЕННОЕ БЮДЖЕТНОЕ ОБРАЗОВАТЕЛЬНОЕ</w:t>
      </w:r>
    </w:p>
    <w:p>
      <w:pPr>
        <w:pStyle w:val="Normal"/>
        <w:spacing w:before="0" w:after="5"/>
        <w:ind w:left="5" w:hanging="0"/>
        <w:jc w:val="center"/>
        <w:rPr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zh-CN"/>
        </w:rPr>
        <w:t>УЧРЕЖДЕНИЕ ВЫСШЕГО ОБРАЗОВАНИЯ</w:t>
      </w:r>
    </w:p>
    <w:p>
      <w:pPr>
        <w:pStyle w:val="Normal"/>
        <w:spacing w:before="0" w:after="5"/>
        <w:ind w:left="5" w:hanging="0"/>
        <w:jc w:val="center"/>
        <w:rPr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zh-CN"/>
        </w:rPr>
        <w:t>«РЯЗАНСКИЙ ГОСУДАРСТВЕННЫЙ РАДИОТЕХНИЧЕСКИЙ УНИВЕРСИТЕТ</w:t>
      </w:r>
    </w:p>
    <w:p>
      <w:pPr>
        <w:pStyle w:val="Normal"/>
        <w:spacing w:before="0" w:after="5"/>
        <w:ind w:left="5" w:hanging="0"/>
        <w:jc w:val="center"/>
        <w:rPr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zh-CN"/>
        </w:rPr>
        <w:t xml:space="preserve"> </w:t>
      </w:r>
      <w:r>
        <w:rPr>
          <w:color w:val="000000"/>
          <w:sz w:val="28"/>
          <w:szCs w:val="28"/>
          <w:lang w:eastAsia="zh-CN"/>
        </w:rPr>
        <w:t>ИМЕНИ В.Ф. УТКИНА»</w:t>
      </w:r>
    </w:p>
    <w:p>
      <w:pPr>
        <w:pStyle w:val="Normal"/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sz w:val="26"/>
          <w:szCs w:val="26"/>
        </w:rPr>
      </w:pPr>
      <w:r>
        <w:rPr>
          <w:sz w:val="26"/>
          <w:szCs w:val="26"/>
        </w:rPr>
        <w:t>Кафедра «Экономическая безопасность, анализ и учет»</w:t>
      </w:r>
    </w:p>
    <w:p>
      <w:pPr>
        <w:pStyle w:val="Normal"/>
        <w:shd w:val="clear" w:color="auto" w:fill="FFFFFF"/>
        <w:jc w:val="center"/>
        <w:rPr>
          <w:color w:val="FF0000"/>
          <w:sz w:val="26"/>
          <w:szCs w:val="26"/>
        </w:rPr>
      </w:pPr>
      <w:r>
        <w:rPr>
          <w:color w:val="FF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hd w:val="clear" w:color="auto" w:fill="FFFFFF"/>
        <w:jc w:val="center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ОЦЕНОЧНЫЕ МАТЕРИАЛЫ ПО ДИСЦИПЛИНЕ</w:t>
      </w:r>
    </w:p>
    <w:p>
      <w:pPr>
        <w:pStyle w:val="Normal"/>
        <w:shd w:val="clear" w:color="auto" w:fill="FFFFFF"/>
        <w:jc w:val="center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Normal"/>
        <w:widowControl/>
        <w:numPr>
          <w:ilvl w:val="0"/>
          <w:numId w:val="20"/>
        </w:numPr>
        <w:suppressAutoHyphens w:val="true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  <w:t>Б1.О.37 «Система экономической безопасности организации»</w:t>
      </w:r>
    </w:p>
    <w:p>
      <w:pPr>
        <w:pStyle w:val="21"/>
        <w:spacing w:before="0" w:after="0"/>
        <w:jc w:val="center"/>
        <w:rPr/>
      </w:pPr>
      <w:r>
        <w:rPr/>
      </w:r>
    </w:p>
    <w:p>
      <w:pPr>
        <w:pStyle w:val="21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Специальность</w:t>
      </w:r>
    </w:p>
    <w:p>
      <w:pPr>
        <w:pStyle w:val="Normal"/>
        <w:jc w:val="center"/>
        <w:rPr>
          <w:sz w:val="28"/>
        </w:rPr>
      </w:pPr>
      <w:r>
        <w:rPr>
          <w:sz w:val="28"/>
        </w:rPr>
        <w:t>38.05.01 Экономическая безопасность</w:t>
      </w:r>
    </w:p>
    <w:p>
      <w:pPr>
        <w:pStyle w:val="Normal"/>
        <w:jc w:val="center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Специализация </w:t>
      </w:r>
    </w:p>
    <w:p>
      <w:pPr>
        <w:pStyle w:val="Normal"/>
        <w:spacing w:lineRule="auto" w:line="264"/>
        <w:jc w:val="center"/>
        <w:rPr>
          <w:b/>
          <w:b/>
          <w:sz w:val="28"/>
          <w:szCs w:val="28"/>
        </w:rPr>
      </w:pPr>
      <w:r>
        <w:rPr>
          <w:sz w:val="28"/>
          <w:szCs w:val="28"/>
        </w:rPr>
        <w:t>Экономическая безопасность хозяйствующих субъектов</w:t>
      </w:r>
    </w:p>
    <w:p>
      <w:pPr>
        <w:pStyle w:val="Normal"/>
        <w:ind w:left="5" w:hang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</w:p>
    <w:p>
      <w:pPr>
        <w:pStyle w:val="Normal"/>
        <w:ind w:left="5" w:hanging="0"/>
        <w:jc w:val="center"/>
        <w:rPr>
          <w:b/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Уровень подготовки</w:t>
      </w:r>
    </w:p>
    <w:p>
      <w:pPr>
        <w:pStyle w:val="Normal"/>
        <w:ind w:left="5" w:hanging="0"/>
        <w:jc w:val="center"/>
        <w:rPr>
          <w:b/>
          <w:b/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  <w:u w:val="single"/>
        </w:rPr>
        <w:t>специалитет</w:t>
      </w:r>
    </w:p>
    <w:p>
      <w:pPr>
        <w:pStyle w:val="Normal"/>
        <w:ind w:left="5" w:hanging="0"/>
        <w:jc w:val="center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  <w:u w:val="single"/>
        </w:rPr>
      </w:r>
    </w:p>
    <w:p>
      <w:pPr>
        <w:pStyle w:val="Normal"/>
        <w:ind w:left="5" w:hanging="0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Normal"/>
        <w:ind w:left="5" w:hanging="0"/>
        <w:jc w:val="center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 xml:space="preserve">Квалификация выпускника – </w:t>
      </w:r>
      <w:r>
        <w:rPr>
          <w:color w:val="000000"/>
          <w:sz w:val="28"/>
          <w:szCs w:val="28"/>
          <w:u w:val="single"/>
        </w:rPr>
        <w:t>экономист</w:t>
      </w:r>
    </w:p>
    <w:p>
      <w:pPr>
        <w:pStyle w:val="Normal"/>
        <w:ind w:left="2165" w:firstLine="715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21"/>
        <w:widowControl w:val="false"/>
        <w:suppressAutoHyphens w:val="false"/>
        <w:jc w:val="center"/>
        <w:rPr>
          <w:b w:val="false"/>
          <w:b w:val="false"/>
          <w:szCs w:val="28"/>
        </w:rPr>
      </w:pPr>
      <w:r>
        <w:rPr>
          <w:b w:val="false"/>
          <w:szCs w:val="28"/>
        </w:rPr>
        <w:t xml:space="preserve">Форма обучения – </w:t>
      </w:r>
      <w:r>
        <w:rPr>
          <w:b w:val="false"/>
          <w:szCs w:val="28"/>
        </w:rPr>
        <w:t>за</w:t>
      </w:r>
      <w:r>
        <w:rPr>
          <w:b w:val="false"/>
          <w:szCs w:val="28"/>
        </w:rPr>
        <w:t>очная</w:t>
      </w:r>
    </w:p>
    <w:p>
      <w:pPr>
        <w:pStyle w:val="21"/>
        <w:widowControl w:val="false"/>
        <w:suppressAutoHyphens w:val="false"/>
        <w:jc w:val="center"/>
        <w:rPr>
          <w:b w:val="false"/>
          <w:b w:val="false"/>
          <w:szCs w:val="28"/>
        </w:rPr>
      </w:pPr>
      <w:r>
        <w:rPr>
          <w:b w:val="false"/>
          <w:szCs w:val="28"/>
        </w:rPr>
      </w:r>
    </w:p>
    <w:p>
      <w:pPr>
        <w:pStyle w:val="21"/>
        <w:widowControl w:val="false"/>
        <w:suppressAutoHyphens w:val="false"/>
        <w:jc w:val="center"/>
        <w:rPr>
          <w:b w:val="false"/>
          <w:b w:val="false"/>
          <w:szCs w:val="28"/>
        </w:rPr>
      </w:pPr>
      <w:r>
        <w:rPr>
          <w:b w:val="false"/>
          <w:szCs w:val="28"/>
        </w:rPr>
      </w:r>
    </w:p>
    <w:p>
      <w:pPr>
        <w:pStyle w:val="21"/>
        <w:widowControl w:val="false"/>
        <w:suppressAutoHyphens w:val="false"/>
        <w:jc w:val="center"/>
        <w:rPr>
          <w:b w:val="false"/>
          <w:b w:val="false"/>
          <w:szCs w:val="28"/>
        </w:rPr>
      </w:pPr>
      <w:r>
        <w:rPr>
          <w:b w:val="false"/>
          <w:szCs w:val="28"/>
        </w:rPr>
      </w:r>
    </w:p>
    <w:p>
      <w:pPr>
        <w:pStyle w:val="21"/>
        <w:widowControl w:val="false"/>
        <w:suppressAutoHyphens w:val="false"/>
        <w:jc w:val="center"/>
        <w:rPr>
          <w:b w:val="false"/>
          <w:b w:val="false"/>
          <w:szCs w:val="28"/>
        </w:rPr>
      </w:pPr>
      <w:r>
        <w:rPr>
          <w:b w:val="false"/>
          <w:szCs w:val="28"/>
        </w:rPr>
      </w:r>
    </w:p>
    <w:p>
      <w:pPr>
        <w:pStyle w:val="21"/>
        <w:widowControl w:val="false"/>
        <w:suppressAutoHyphens w:val="false"/>
        <w:jc w:val="center"/>
        <w:rPr>
          <w:b w:val="false"/>
          <w:b w:val="false"/>
          <w:szCs w:val="28"/>
        </w:rPr>
      </w:pPr>
      <w:r>
        <w:rPr>
          <w:b w:val="false"/>
          <w:szCs w:val="28"/>
        </w:rPr>
      </w:r>
    </w:p>
    <w:p>
      <w:pPr>
        <w:pStyle w:val="21"/>
        <w:widowControl w:val="false"/>
        <w:suppressAutoHyphens w:val="false"/>
        <w:jc w:val="center"/>
        <w:rPr>
          <w:b w:val="false"/>
          <w:b w:val="false"/>
          <w:szCs w:val="28"/>
        </w:rPr>
      </w:pPr>
      <w:r>
        <w:rPr>
          <w:b w:val="false"/>
          <w:szCs w:val="28"/>
        </w:rPr>
        <w:t>Рязань 2021</w:t>
      </w:r>
      <w:r>
        <w:br w:type="page"/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1. ОБЩИЕ ПОЛОЖЕНИЯ</w:t>
      </w:r>
    </w:p>
    <w:p>
      <w:pPr>
        <w:pStyle w:val="FR2"/>
        <w:spacing w:lineRule="auto" w:line="2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обучающимися данной дисциплины как части ОПОП.</w:t>
      </w:r>
    </w:p>
    <w:p>
      <w:pPr>
        <w:pStyle w:val="Default"/>
        <w:ind w:firstLine="709"/>
        <w:jc w:val="both"/>
        <w:rPr>
          <w:sz w:val="22"/>
          <w:szCs w:val="22"/>
        </w:rPr>
      </w:pPr>
      <w:r>
        <w:rPr>
          <w:bCs/>
          <w:sz w:val="22"/>
          <w:szCs w:val="22"/>
        </w:rPr>
        <w:t xml:space="preserve">Целью изучения дисциплины является </w:t>
      </w:r>
      <w:r>
        <w:rPr>
          <w:sz w:val="22"/>
          <w:szCs w:val="22"/>
        </w:rPr>
        <w:t xml:space="preserve">овладение студентами знаниями в области теории и методологии экономической безопасности хозяйствующих субъектов, необходимых специалисту в сфере обеспечения экономической безопасности организации. 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Промежуточная аттестация проводится в форме зачета. Форма проведения зачета – тестирование, выполнение практического задания.</w:t>
      </w:r>
    </w:p>
    <w:p>
      <w:pPr>
        <w:pStyle w:val="Default"/>
        <w:ind w:firstLine="709"/>
        <w:jc w:val="both"/>
        <w:rPr>
          <w:sz w:val="22"/>
          <w:szCs w:val="22"/>
        </w:rPr>
      </w:pPr>
      <w:r>
        <w:rPr>
          <w:b/>
          <w:sz w:val="22"/>
          <w:szCs w:val="22"/>
        </w:rPr>
        <w:t>Цель дисциплины:</w:t>
      </w:r>
      <w:r>
        <w:rPr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является </w:t>
      </w:r>
      <w:r>
        <w:rPr>
          <w:sz w:val="22"/>
          <w:szCs w:val="22"/>
        </w:rPr>
        <w:t xml:space="preserve">овладение студентами знаниями в области теории и методологии экономической безопасности хозяйствующих субъектов, необходимых специалисту в сфере обеспечения экономической безопасности </w:t>
      </w:r>
      <w:r>
        <w:rPr/>
        <w:t>организации.</w:t>
      </w:r>
      <w:r>
        <w:rPr>
          <w:sz w:val="22"/>
          <w:szCs w:val="22"/>
        </w:rPr>
        <w:t xml:space="preserve"> </w:t>
      </w:r>
    </w:p>
    <w:p>
      <w:pPr>
        <w:pStyle w:val="Normal"/>
        <w:widowControl/>
        <w:numPr>
          <w:ilvl w:val="1"/>
          <w:numId w:val="21"/>
        </w:numPr>
        <w:ind w:left="0" w:firstLine="709"/>
        <w:jc w:val="both"/>
        <w:rPr>
          <w:rFonts w:eastAsia="Calibri"/>
          <w:sz w:val="22"/>
          <w:szCs w:val="22"/>
        </w:rPr>
      </w:pPr>
      <w:r>
        <w:rPr>
          <w:b/>
          <w:sz w:val="22"/>
          <w:szCs w:val="22"/>
        </w:rPr>
        <w:t>Задачи дисциплины:</w:t>
      </w:r>
      <w:r>
        <w:rPr>
          <w:rFonts w:eastAsia="Calibri"/>
          <w:sz w:val="22"/>
          <w:szCs w:val="22"/>
          <w:lang w:eastAsia="ar-SA"/>
        </w:rPr>
        <w:t xml:space="preserve"> </w:t>
      </w:r>
    </w:p>
    <w:p>
      <w:pPr>
        <w:pStyle w:val="Normal"/>
        <w:widowControl/>
        <w:numPr>
          <w:ilvl w:val="1"/>
          <w:numId w:val="21"/>
        </w:numPr>
        <w:ind w:left="0" w:firstLine="709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- Изучить теоретические и методологические основы обеспечения экономической безопасности субъектов экономической деятельности.</w:t>
      </w:r>
    </w:p>
    <w:p>
      <w:pPr>
        <w:pStyle w:val="Normal"/>
        <w:widowControl/>
        <w:numPr>
          <w:ilvl w:val="1"/>
          <w:numId w:val="21"/>
        </w:numPr>
        <w:ind w:left="0" w:firstLine="709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- Показать специфику элементов составляющих экономическую безопасность хозяйствующих субъектов организации. </w:t>
      </w:r>
    </w:p>
    <w:p>
      <w:pPr>
        <w:pStyle w:val="Normal"/>
        <w:widowControl/>
        <w:numPr>
          <w:ilvl w:val="1"/>
          <w:numId w:val="21"/>
        </w:numPr>
        <w:ind w:left="0" w:firstLine="709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- Дать всестороннее представление о важнейших индикаторах экономической безопасности организации, их специфике в системе хозяйственной деятельности.</w:t>
      </w:r>
    </w:p>
    <w:p>
      <w:pPr>
        <w:pStyle w:val="Normal"/>
        <w:widowControl/>
        <w:numPr>
          <w:ilvl w:val="1"/>
          <w:numId w:val="21"/>
        </w:numPr>
        <w:ind w:left="0" w:firstLine="709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- Способствовать приобретению необходимых практических знаний и навыков прогнозирования возможных угроз, вызов экономической безопасности организации.</w:t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 xml:space="preserve">2. ПАСПОРТ ОЦЕНОЧНЫХ МАТЕРИАЛОВ ПО ДИСЦИПЛИНЕ (МОДУЛЮ) 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9639" w:type="dxa"/>
        <w:jc w:val="left"/>
        <w:tblInd w:w="40" w:type="dxa"/>
        <w:tblLayout w:type="fixed"/>
        <w:tblCellMar>
          <w:top w:w="0" w:type="dxa"/>
          <w:left w:w="40" w:type="dxa"/>
          <w:bottom w:w="0" w:type="dxa"/>
          <w:right w:w="40" w:type="dxa"/>
        </w:tblCellMar>
        <w:tblLook w:val="0000"/>
      </w:tblPr>
      <w:tblGrid>
        <w:gridCol w:w="4250"/>
        <w:gridCol w:w="2268"/>
        <w:gridCol w:w="3121"/>
      </w:tblGrid>
      <w:tr>
        <w:trPr>
          <w:tblHeader w:val="true"/>
        </w:trPr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7"/>
              <w:widowControl w:val="false"/>
              <w:jc w:val="center"/>
              <w:rPr>
                <w:rStyle w:val="11"/>
                <w:b/>
                <w:b/>
                <w:bCs/>
                <w:i/>
                <w:i/>
                <w:color w:val="000000"/>
                <w:sz w:val="22"/>
                <w:szCs w:val="22"/>
              </w:rPr>
            </w:pPr>
            <w:r>
              <w:rPr>
                <w:rStyle w:val="11"/>
                <w:b/>
                <w:bCs/>
                <w:i/>
                <w:color w:val="000000"/>
                <w:sz w:val="22"/>
                <w:szCs w:val="22"/>
              </w:rPr>
              <w:t>Контролируемые разделы (темы) дисциплины</w:t>
            </w:r>
          </w:p>
          <w:p>
            <w:pPr>
              <w:pStyle w:val="Style17"/>
              <w:widowControl w:val="false"/>
              <w:spacing w:before="0" w:after="120"/>
              <w:jc w:val="center"/>
              <w:rPr>
                <w:b/>
                <w:b/>
                <w:i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7"/>
              <w:widowControl w:val="false"/>
              <w:jc w:val="center"/>
              <w:rPr>
                <w:b/>
                <w:b/>
                <w:bCs/>
                <w:i/>
                <w:i/>
                <w:color w:val="000000"/>
                <w:sz w:val="22"/>
                <w:szCs w:val="22"/>
              </w:rPr>
            </w:pPr>
            <w:r>
              <w:rPr>
                <w:rStyle w:val="11"/>
                <w:b/>
                <w:bCs/>
                <w:i/>
                <w:color w:val="000000"/>
                <w:sz w:val="22"/>
                <w:szCs w:val="22"/>
              </w:rPr>
              <w:t>Код контролируемой компетенции</w:t>
            </w:r>
          </w:p>
          <w:p>
            <w:pPr>
              <w:pStyle w:val="Style17"/>
              <w:widowControl w:val="false"/>
              <w:spacing w:before="0" w:after="120"/>
              <w:jc w:val="center"/>
              <w:rPr>
                <w:b/>
                <w:b/>
                <w:bCs/>
                <w:i/>
                <w:i/>
                <w:color w:val="000000"/>
                <w:sz w:val="22"/>
                <w:szCs w:val="22"/>
              </w:rPr>
            </w:pPr>
            <w:r>
              <w:rPr>
                <w:rStyle w:val="11"/>
                <w:b/>
                <w:bCs/>
                <w:i/>
                <w:color w:val="000000"/>
                <w:sz w:val="22"/>
                <w:szCs w:val="22"/>
              </w:rPr>
              <w:t>(или ее части)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jc w:val="center"/>
              <w:rPr>
                <w:rFonts w:eastAsia="Calibri"/>
                <w:b/>
                <w:b/>
              </w:rPr>
            </w:pPr>
            <w:r>
              <w:rPr>
                <w:rFonts w:eastAsia="Calibri"/>
                <w:b/>
              </w:rPr>
              <w:t>Вид, метод, форма</w:t>
            </w:r>
          </w:p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rFonts w:eastAsia="Calibri"/>
                <w:b/>
              </w:rPr>
              <w:t>оценочного мероприятия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  <w:sz w:val="22"/>
                <w:szCs w:val="22"/>
              </w:rPr>
              <w:t>Тема 1. Классификация основных вызовов и угроз экономической безопасности организации.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FontStyle137"/>
              </w:rPr>
              <w:t>Зачет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bCs/>
                <w:spacing w:val="-4"/>
                <w:sz w:val="22"/>
                <w:szCs w:val="22"/>
              </w:rPr>
              <w:t>Тема 2. Оценка экономической безопасности организации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FontStyle137"/>
              </w:rPr>
              <w:t>Зачет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  <w:sz w:val="22"/>
                <w:szCs w:val="22"/>
              </w:rPr>
              <w:t>Тема 3. Анализ и оценка кадровой составляющей экономической безопасности организации.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FontStyle137"/>
              </w:rPr>
              <w:t>Зачет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  <w:sz w:val="22"/>
                <w:szCs w:val="22"/>
              </w:rPr>
              <w:t>Тема 4. Анализ и оценка финансовой безопасности организации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FontStyle137"/>
              </w:rPr>
              <w:t>Зачет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bCs/>
                <w:spacing w:val="-4"/>
                <w:sz w:val="22"/>
                <w:szCs w:val="22"/>
              </w:rPr>
              <w:t>Тема 5. Анализ и оценка производственно-технической составляющей экономической безопасности организации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FontStyle137"/>
              </w:rPr>
              <w:t>Зачет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bCs/>
                <w:spacing w:val="-4"/>
                <w:sz w:val="22"/>
                <w:szCs w:val="22"/>
              </w:rPr>
              <w:t>Тема 6. Анализ и оценка информационной составляющей экономической безопасности организации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51"/>
              <w:widowControl w:val="false"/>
              <w:spacing w:lineRule="auto" w:line="240"/>
              <w:jc w:val="center"/>
              <w:rPr>
                <w:rStyle w:val="FontStyle137"/>
              </w:rPr>
            </w:pPr>
            <w:r>
              <w:rPr>
                <w:rStyle w:val="FontStyle137"/>
              </w:rPr>
              <w:t>Зачет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bCs/>
                <w:spacing w:val="-4"/>
                <w:sz w:val="22"/>
                <w:szCs w:val="22"/>
              </w:rPr>
              <w:t>Тема 7. Налоговая безопасность как составляющая экономической безопасности организации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51"/>
              <w:widowControl w:val="false"/>
              <w:spacing w:lineRule="auto" w:line="240"/>
              <w:jc w:val="center"/>
              <w:rPr>
                <w:rStyle w:val="FontStyle137"/>
              </w:rPr>
            </w:pPr>
            <w:r>
              <w:rPr>
                <w:rStyle w:val="FontStyle137"/>
              </w:rPr>
              <w:t>Зачет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bCs/>
                <w:spacing w:val="-4"/>
                <w:sz w:val="22"/>
                <w:szCs w:val="22"/>
              </w:rPr>
              <w:t>Тема 8. Организация системы контроля и мониторинга обеспечения экономической организации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51"/>
              <w:widowControl w:val="false"/>
              <w:spacing w:lineRule="auto" w:line="240"/>
              <w:jc w:val="center"/>
              <w:rPr>
                <w:rStyle w:val="FontStyle137"/>
              </w:rPr>
            </w:pPr>
            <w:r>
              <w:rPr>
                <w:rStyle w:val="FontStyle137"/>
              </w:rPr>
              <w:t>Зачет</w:t>
            </w:r>
          </w:p>
        </w:tc>
      </w:tr>
      <w:tr>
        <w:trPr/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  <w:sz w:val="22"/>
                <w:szCs w:val="22"/>
              </w:rPr>
              <w:t>Тема 9. Преступления экономической направленности в системе экономической безопасности хозяйствующих субъектов. Способы и меры противодействия им.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51"/>
              <w:widowControl w:val="false"/>
              <w:spacing w:lineRule="auto" w:line="240"/>
              <w:jc w:val="center"/>
              <w:rPr>
                <w:rStyle w:val="FontStyle137"/>
              </w:rPr>
            </w:pPr>
            <w:r>
              <w:rPr>
                <w:rStyle w:val="FontStyle137"/>
              </w:rPr>
              <w:t>Зачет</w:t>
            </w:r>
          </w:p>
        </w:tc>
      </w:tr>
    </w:tbl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  <w:r>
        <w:br w:type="page"/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3. ОПИСАНИЕ ПОКАЗАТЕЛЕЙ И КРИТЕРИЕВ ОЦЕНИВАНИЯ КОМПЕТЕНЦИЙ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>Сформированность каждой компетенции в рамках освоения данной дисциплины оценивается по трехуровневой шкале: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134" w:leader="none"/>
        </w:tabs>
        <w:suppressAutoHyphens w:val="true"/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пороговый уровень является обязательным для всех обучающихся по завершении освоения дисциплины;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134" w:leader="none"/>
        </w:tabs>
        <w:suppressAutoHyphens w:val="true"/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продвинутый уровень характеризуется превышением минимальных характеристик сформированности компетенций по завершении освоения дисциплины;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134" w:leader="none"/>
        </w:tabs>
        <w:suppressAutoHyphens w:val="true"/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Normal"/>
        <w:jc w:val="center"/>
        <w:rPr>
          <w:b/>
          <w:b/>
          <w:i/>
          <w:i/>
          <w:sz w:val="22"/>
          <w:szCs w:val="22"/>
        </w:rPr>
      </w:pPr>
      <w:r>
        <w:rPr>
          <w:b/>
          <w:i/>
          <w:sz w:val="22"/>
          <w:szCs w:val="22"/>
        </w:rPr>
        <w:t>Описание критериев и шкалы оценивания:</w:t>
      </w:r>
    </w:p>
    <w:p>
      <w:pPr>
        <w:pStyle w:val="Normal"/>
        <w:rPr>
          <w:i/>
          <w:i/>
          <w:sz w:val="22"/>
          <w:szCs w:val="22"/>
        </w:rPr>
      </w:pPr>
      <w:r>
        <w:rPr>
          <w:i/>
          <w:sz w:val="22"/>
          <w:szCs w:val="22"/>
        </w:rPr>
      </w:r>
    </w:p>
    <w:p>
      <w:pPr>
        <w:pStyle w:val="Normal"/>
        <w:rPr>
          <w:i/>
          <w:i/>
          <w:sz w:val="22"/>
          <w:szCs w:val="22"/>
        </w:rPr>
      </w:pPr>
      <w:r>
        <w:rPr>
          <w:i/>
          <w:sz w:val="22"/>
          <w:szCs w:val="22"/>
        </w:rPr>
        <w:t>а) описание критериев и шкалы оценивания тестирования: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На зачет и экзамен выносится 15 тестовых вопросов. Максимально обучающийся может набрать 75 баллов.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val="04a0"/>
      </w:tblPr>
      <w:tblGrid>
        <w:gridCol w:w="2042"/>
        <w:gridCol w:w="7591"/>
      </w:tblGrid>
      <w:tr>
        <w:trPr>
          <w:tblHeader w:val="true"/>
        </w:trPr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eastAsia="Calibri"/>
                <w:b/>
                <w:b/>
              </w:rPr>
            </w:pPr>
            <w:r>
              <w:rPr>
                <w:rFonts w:eastAsia="Calibri"/>
                <w:b/>
              </w:rPr>
              <w:t>Шкала оценивания</w:t>
            </w:r>
          </w:p>
        </w:tc>
        <w:tc>
          <w:tcPr>
            <w:tcW w:w="7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eastAsia="Calibri"/>
                <w:b/>
                <w:b/>
              </w:rPr>
            </w:pPr>
            <w:r>
              <w:rPr>
                <w:rFonts w:eastAsia="Calibri"/>
                <w:b/>
              </w:rPr>
              <w:t>Критерий</w:t>
            </w:r>
          </w:p>
        </w:tc>
      </w:tr>
      <w:tr>
        <w:trPr/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5 баллов</w:t>
            </w:r>
          </w:p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(эталонный уровень)</w:t>
            </w:r>
          </w:p>
          <w:p>
            <w:pPr>
              <w:pStyle w:val="Style17"/>
              <w:widowControl w:val="false"/>
              <w:spacing w:before="0" w:after="120"/>
              <w:jc w:val="center"/>
              <w:rPr>
                <w:i/>
                <w:i/>
              </w:rPr>
            </w:pPr>
            <w:r>
              <w:rPr>
                <w:i/>
              </w:rPr>
            </w:r>
          </w:p>
        </w:tc>
        <w:tc>
          <w:tcPr>
            <w:tcW w:w="7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bCs/>
                <w:iCs/>
                <w:shd w:fill="FFFFFF" w:val="clear"/>
              </w:rPr>
              <w:t>ответ на тестовый вопрос полностью правильный</w:t>
            </w:r>
          </w:p>
        </w:tc>
      </w:tr>
      <w:tr>
        <w:trPr/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4 балла</w:t>
            </w:r>
          </w:p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(продвинутый уровень)</w:t>
            </w:r>
          </w:p>
          <w:p>
            <w:pPr>
              <w:pStyle w:val="Style17"/>
              <w:widowControl w:val="false"/>
              <w:spacing w:before="0" w:after="120"/>
              <w:jc w:val="center"/>
              <w:rPr>
                <w:i/>
                <w:i/>
              </w:rPr>
            </w:pPr>
            <w:r>
              <w:rPr>
                <w:i/>
              </w:rPr>
            </w:r>
          </w:p>
        </w:tc>
        <w:tc>
          <w:tcPr>
            <w:tcW w:w="7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</w:rPr>
            </w:pPr>
            <w:r>
              <w:rPr/>
              <w:t>ответ на тестовый вопрос частично правильный (выбрано более одного правильного варианта ответа из нескольких правильных вариантов)</w:t>
            </w:r>
          </w:p>
        </w:tc>
      </w:tr>
      <w:tr>
        <w:trPr/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3 балла</w:t>
            </w:r>
          </w:p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(пороговый уровень)</w:t>
            </w:r>
          </w:p>
          <w:p>
            <w:pPr>
              <w:pStyle w:val="Style17"/>
              <w:widowControl w:val="false"/>
              <w:spacing w:before="0" w:after="120"/>
              <w:jc w:val="center"/>
              <w:rPr>
                <w:i/>
                <w:i/>
              </w:rPr>
            </w:pPr>
            <w:r>
              <w:rPr>
                <w:i/>
              </w:rPr>
            </w:r>
          </w:p>
        </w:tc>
        <w:tc>
          <w:tcPr>
            <w:tcW w:w="7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</w:rPr>
            </w:pPr>
            <w:r>
              <w:rPr/>
              <w:t>ответ на тестовый вопрос частично правильный (выбран только один правильный вариант ответа из нескольких правильных вариантов)</w:t>
            </w:r>
          </w:p>
        </w:tc>
      </w:tr>
      <w:tr>
        <w:trPr/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7"/>
              <w:widowControl w:val="false"/>
              <w:spacing w:before="0" w:after="120"/>
              <w:jc w:val="center"/>
              <w:rPr>
                <w:i/>
                <w:i/>
              </w:rPr>
            </w:pPr>
            <w:r>
              <w:rPr>
                <w:i/>
              </w:rPr>
              <w:t>0 баллов</w:t>
            </w:r>
          </w:p>
        </w:tc>
        <w:tc>
          <w:tcPr>
            <w:tcW w:w="7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ответ на тестовый вопрос полностью не правильный</w:t>
            </w:r>
          </w:p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</w:tbl>
    <w:p>
      <w:pPr>
        <w:pStyle w:val="FR2"/>
        <w:spacing w:lineRule="auto" w:line="240"/>
        <w:ind w:firstLine="720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Normal"/>
        <w:rPr>
          <w:i/>
          <w:i/>
          <w:sz w:val="22"/>
          <w:szCs w:val="22"/>
        </w:rPr>
      </w:pPr>
      <w:r>
        <w:rPr>
          <w:i/>
          <w:sz w:val="22"/>
          <w:szCs w:val="22"/>
        </w:rPr>
      </w:r>
    </w:p>
    <w:p>
      <w:pPr>
        <w:pStyle w:val="Normal"/>
        <w:rPr>
          <w:i/>
          <w:i/>
          <w:sz w:val="22"/>
          <w:szCs w:val="22"/>
        </w:rPr>
      </w:pPr>
      <w:r>
        <w:rPr>
          <w:i/>
          <w:sz w:val="22"/>
          <w:szCs w:val="22"/>
        </w:rPr>
        <w:t xml:space="preserve">б) описание критериев и шкалы оценивания практического задания 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На зачет выносится одно практическое задание. Максимально обучающийся может набрать 25 баллов.</w:t>
      </w:r>
    </w:p>
    <w:p>
      <w:pPr>
        <w:pStyle w:val="Normal"/>
        <w:rPr>
          <w:bCs/>
          <w:sz w:val="22"/>
          <w:szCs w:val="22"/>
        </w:rPr>
      </w:pPr>
      <w:r>
        <w:rPr>
          <w:bCs/>
          <w:sz w:val="22"/>
          <w:szCs w:val="22"/>
        </w:rPr>
      </w:r>
    </w:p>
    <w:tbl>
      <w:tblPr>
        <w:tblW w:w="9696" w:type="dxa"/>
        <w:jc w:val="left"/>
        <w:tblInd w:w="0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val="04a0"/>
      </w:tblPr>
      <w:tblGrid>
        <w:gridCol w:w="2466"/>
        <w:gridCol w:w="7229"/>
      </w:tblGrid>
      <w:tr>
        <w:trPr>
          <w:tblHeader w:val="true"/>
        </w:trPr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eastAsia="Calibri"/>
                <w:b/>
                <w:b/>
              </w:rPr>
            </w:pPr>
            <w:r>
              <w:rPr>
                <w:rFonts w:eastAsia="Calibri"/>
                <w:b/>
              </w:rPr>
              <w:t>Шкала оценивания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eastAsia="Calibri"/>
                <w:b/>
                <w:b/>
              </w:rPr>
            </w:pPr>
            <w:r>
              <w:rPr>
                <w:rFonts w:eastAsia="Calibri"/>
                <w:b/>
              </w:rPr>
              <w:t>Критерий</w:t>
            </w:r>
          </w:p>
        </w:tc>
      </w:tr>
      <w:tr>
        <w:trPr/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>25 баллов</w:t>
            </w:r>
          </w:p>
          <w:p>
            <w:pPr>
              <w:pStyle w:val="Normal"/>
              <w:widowControl w:val="false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>(эталонный уровень)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практическое задание выполнено правильно</w:t>
            </w:r>
          </w:p>
        </w:tc>
      </w:tr>
      <w:tr>
        <w:trPr/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>20 баллов</w:t>
            </w:r>
          </w:p>
          <w:p>
            <w:pPr>
              <w:pStyle w:val="Normal"/>
              <w:widowControl w:val="false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>(продвинутый уровень)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практическое задание выполнено правильно, но имеются технические неточности в расчетах (описаниях)</w:t>
            </w:r>
          </w:p>
        </w:tc>
      </w:tr>
      <w:tr>
        <w:trPr/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>10 баллов</w:t>
            </w:r>
          </w:p>
          <w:p>
            <w:pPr>
              <w:pStyle w:val="Normal"/>
              <w:widowControl w:val="false"/>
              <w:jc w:val="center"/>
              <w:rPr>
                <w:rFonts w:eastAsia="Calibri"/>
              </w:rPr>
            </w:pPr>
            <w:r>
              <w:rPr>
                <w:rFonts w:eastAsia="Calibri"/>
                <w:iCs/>
              </w:rPr>
              <w:t>(</w:t>
            </w:r>
            <w:r>
              <w:rPr/>
              <w:t>пороговый уровень)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практическое задание выполнено правильно, но с дополнительными наводящими вопросами преподавателя</w:t>
            </w:r>
          </w:p>
        </w:tc>
      </w:tr>
      <w:tr>
        <w:trPr/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>0 баллов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практическое задание не выполнено или выполнено неправильно</w:t>
            </w:r>
          </w:p>
        </w:tc>
      </w:tr>
    </w:tbl>
    <w:p>
      <w:pPr>
        <w:pStyle w:val="FR2"/>
        <w:spacing w:lineRule="auto" w:line="240"/>
        <w:ind w:firstLine="720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FR2"/>
        <w:spacing w:lineRule="auto" w:line="240"/>
        <w:ind w:firstLine="720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Итоговый суммарный балл обучающегося, полученный при прохождении промежуточной аттестации, переводится в традиционную форму по системе «зачтено» / «не зачтено» в соответствии со следующей шкалой:</w:t>
      </w:r>
    </w:p>
    <w:p>
      <w:pPr>
        <w:pStyle w:val="FR2"/>
        <w:spacing w:lineRule="auto" w:line="240"/>
        <w:ind w:firstLine="720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tbl>
      <w:tblPr>
        <w:tblW w:w="9980" w:type="dxa"/>
        <w:jc w:val="left"/>
        <w:tblInd w:w="0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val="04a0"/>
      </w:tblPr>
      <w:tblGrid>
        <w:gridCol w:w="2039"/>
        <w:gridCol w:w="7940"/>
      </w:tblGrid>
      <w:tr>
        <w:trPr>
          <w:tblHeader w:val="true"/>
        </w:trPr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eastAsia="Calibri"/>
                <w:b/>
                <w:b/>
              </w:rPr>
            </w:pPr>
            <w:r>
              <w:rPr>
                <w:rFonts w:eastAsia="Calibri"/>
                <w:b/>
              </w:rPr>
              <w:t>Шкала</w:t>
            </w:r>
          </w:p>
          <w:p>
            <w:pPr>
              <w:pStyle w:val="Normal"/>
              <w:widowControl w:val="false"/>
              <w:jc w:val="center"/>
              <w:rPr>
                <w:rFonts w:eastAsia="Calibri"/>
                <w:b/>
                <w:b/>
              </w:rPr>
            </w:pPr>
            <w:r>
              <w:rPr>
                <w:rFonts w:eastAsia="Calibri"/>
                <w:b/>
              </w:rPr>
              <w:t>оценивания</w:t>
            </w:r>
          </w:p>
        </w:tc>
        <w:tc>
          <w:tcPr>
            <w:tcW w:w="7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eastAsia="Calibri"/>
                <w:b/>
                <w:b/>
              </w:rPr>
            </w:pPr>
            <w:r>
              <w:rPr>
                <w:rFonts w:eastAsia="Calibri"/>
                <w:b/>
              </w:rPr>
              <w:t>Итоговый суммарный балл</w:t>
            </w:r>
          </w:p>
        </w:tc>
      </w:tr>
      <w:tr>
        <w:trPr/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Зачтено</w:t>
            </w:r>
          </w:p>
          <w:p>
            <w:pPr>
              <w:pStyle w:val="Style17"/>
              <w:widowControl w:val="false"/>
              <w:spacing w:before="0" w:after="120"/>
              <w:jc w:val="center"/>
              <w:rPr/>
            </w:pPr>
            <w:r>
              <w:rPr/>
            </w:r>
          </w:p>
        </w:tc>
        <w:tc>
          <w:tcPr>
            <w:tcW w:w="7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>90 – 100 баллов (эталонный уровень)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Зачтено</w:t>
            </w:r>
          </w:p>
          <w:p>
            <w:pPr>
              <w:pStyle w:val="Style17"/>
              <w:widowControl w:val="false"/>
              <w:spacing w:before="0" w:after="120"/>
              <w:jc w:val="center"/>
              <w:rPr/>
            </w:pPr>
            <w:r>
              <w:rPr/>
            </w:r>
          </w:p>
        </w:tc>
        <w:tc>
          <w:tcPr>
            <w:tcW w:w="7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>89 – 70 баллов (продвинутый уровень)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7"/>
              <w:widowControl w:val="false"/>
              <w:jc w:val="center"/>
              <w:rPr>
                <w:i/>
                <w:i/>
              </w:rPr>
            </w:pPr>
            <w:r>
              <w:rPr>
                <w:i/>
              </w:rPr>
              <w:t>Зачтено</w:t>
            </w:r>
          </w:p>
          <w:p>
            <w:pPr>
              <w:pStyle w:val="Style17"/>
              <w:widowControl w:val="false"/>
              <w:spacing w:before="0" w:after="120"/>
              <w:jc w:val="center"/>
              <w:rPr/>
            </w:pPr>
            <w:r>
              <w:rPr/>
            </w:r>
          </w:p>
        </w:tc>
        <w:tc>
          <w:tcPr>
            <w:tcW w:w="7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>69 – 50 баллов (пороговый уровень)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7"/>
              <w:widowControl w:val="false"/>
              <w:spacing w:before="0" w:after="120"/>
              <w:jc w:val="center"/>
              <w:rPr>
                <w:i/>
                <w:i/>
              </w:rPr>
            </w:pPr>
            <w:r>
              <w:rPr>
                <w:i/>
              </w:rPr>
              <w:t>Не зачтено</w:t>
            </w:r>
          </w:p>
        </w:tc>
        <w:tc>
          <w:tcPr>
            <w:tcW w:w="7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>50 баллов и ниже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</w:tbl>
    <w:p>
      <w:pPr>
        <w:pStyle w:val="FR2"/>
        <w:spacing w:lineRule="auto" w:line="240"/>
        <w:ind w:firstLine="709"/>
        <w:rPr>
          <w:rFonts w:ascii="Times New Roman" w:hAnsi="Times New Roman" w:cs="Times New Roman"/>
          <w:b/>
          <w:b/>
          <w:sz w:val="22"/>
          <w:szCs w:val="22"/>
        </w:rPr>
      </w:pPr>
      <w:r>
        <w:rPr>
          <w:rFonts w:cs="Times New Roman" w:ascii="Times New Roman" w:hAnsi="Times New Roman"/>
          <w:b/>
          <w:sz w:val="22"/>
          <w:szCs w:val="22"/>
        </w:rPr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4. ТИПОВЫЕ КОНТРОЛЬНЫЕ ЗАДАНИЯ ИЛИ ИНЫЕ МАТЕРИАЛЫ</w:t>
      </w:r>
    </w:p>
    <w:p>
      <w:pPr>
        <w:pStyle w:val="Normal"/>
        <w:ind w:firstLine="708"/>
        <w:jc w:val="center"/>
        <w:rPr>
          <w:b/>
          <w:b/>
          <w:bCs/>
        </w:rPr>
      </w:pPr>
      <w:r>
        <w:rPr>
          <w:b/>
          <w:bCs/>
        </w:rPr>
      </w:r>
    </w:p>
    <w:tbl>
      <w:tblPr>
        <w:tblW w:w="9696" w:type="dxa"/>
        <w:jc w:val="left"/>
        <w:tblInd w:w="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755"/>
        <w:gridCol w:w="7940"/>
      </w:tblGrid>
      <w:tr>
        <w:trPr/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97"/>
              <w:widowControl w:val="false"/>
              <w:suppressAutoHyphens w:val="true"/>
              <w:spacing w:lineRule="auto" w:line="240"/>
              <w:jc w:val="center"/>
              <w:rPr>
                <w:rStyle w:val="FontStyle138"/>
                <w:b/>
                <w:b/>
                <w:i w:val="false"/>
                <w:i w:val="false"/>
              </w:rPr>
            </w:pPr>
            <w:r>
              <w:rPr>
                <w:rStyle w:val="FontStyle133"/>
                <w:i w:val="false"/>
                <w:sz w:val="22"/>
                <w:szCs w:val="22"/>
              </w:rPr>
              <w:t>Коды компетенций</w:t>
            </w:r>
          </w:p>
        </w:tc>
        <w:tc>
          <w:tcPr>
            <w:tcW w:w="7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97"/>
              <w:widowControl w:val="false"/>
              <w:suppressAutoHyphens w:val="true"/>
              <w:spacing w:lineRule="auto" w:line="240"/>
              <w:jc w:val="center"/>
              <w:rPr>
                <w:rStyle w:val="FontStyle138"/>
                <w:b/>
                <w:b/>
                <w:i w:val="false"/>
                <w:i w:val="false"/>
              </w:rPr>
            </w:pPr>
            <w:r>
              <w:rPr>
                <w:rStyle w:val="FontStyle138"/>
                <w:b/>
                <w:i w:val="false"/>
              </w:rPr>
              <w:t>Результаты освоения ОПОП</w:t>
            </w:r>
          </w:p>
          <w:p>
            <w:pPr>
              <w:pStyle w:val="Style97"/>
              <w:widowControl w:val="false"/>
              <w:suppressAutoHyphens w:val="true"/>
              <w:spacing w:lineRule="auto" w:line="240"/>
              <w:jc w:val="center"/>
              <w:rPr>
                <w:rStyle w:val="FontStyle138"/>
                <w:b/>
                <w:b/>
                <w:i w:val="false"/>
                <w:i w:val="false"/>
              </w:rPr>
            </w:pPr>
            <w:r>
              <w:rPr>
                <w:rStyle w:val="FontStyle138"/>
                <w:b/>
                <w:i w:val="false"/>
              </w:rPr>
              <w:t>Содержание компетенций</w:t>
            </w:r>
          </w:p>
        </w:tc>
      </w:tr>
      <w:tr>
        <w:trPr/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97"/>
              <w:widowControl w:val="false"/>
              <w:spacing w:lineRule="auto" w:line="240"/>
              <w:jc w:val="center"/>
              <w:rPr>
                <w:rStyle w:val="FontStyle138"/>
                <w:i w:val="false"/>
                <w:i w:val="false"/>
              </w:rPr>
            </w:pPr>
            <w:r>
              <w:rPr>
                <w:rFonts w:eastAsia="TimesNewRomanPSMT"/>
                <w:sz w:val="22"/>
                <w:szCs w:val="22"/>
                <w:lang w:eastAsia="ar-SA"/>
              </w:rPr>
              <w:t>ОПК-2.6</w:t>
            </w:r>
          </w:p>
        </w:tc>
        <w:tc>
          <w:tcPr>
            <w:tcW w:w="7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  <w:lang w:eastAsia="ar-SA"/>
              </w:rPr>
              <w:t>Анализирует эффективность основных компонентов действующей системы обеспечения экономической безопасности организации</w:t>
            </w:r>
          </w:p>
        </w:tc>
      </w:tr>
    </w:tbl>
    <w:p>
      <w:pPr>
        <w:pStyle w:val="FR2"/>
        <w:spacing w:lineRule="auto" w:line="240"/>
        <w:ind w:firstLine="720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Normal"/>
        <w:rPr>
          <w:b/>
          <w:b/>
          <w:sz w:val="22"/>
          <w:u w:val="single"/>
        </w:rPr>
      </w:pPr>
      <w:r>
        <w:rPr>
          <w:b/>
          <w:sz w:val="22"/>
          <w:u w:val="single"/>
        </w:rPr>
        <w:t>а) типовые тестовые вопросы:</w:t>
      </w:r>
    </w:p>
    <w:p>
      <w:pPr>
        <w:pStyle w:val="Normal"/>
        <w:rPr>
          <w:sz w:val="22"/>
        </w:rPr>
      </w:pPr>
      <w:r>
        <w:rPr>
          <w:sz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 xml:space="preserve">Требуется выбрать правильные варианты ответов. </w:t>
      </w:r>
    </w:p>
    <w:p>
      <w:pPr>
        <w:pStyle w:val="Normal"/>
        <w:jc w:val="both"/>
        <w:rPr/>
      </w:pPr>
      <w:r>
        <w:rPr/>
        <w:t>1. Фундаментальной основой экономической безопасности предприятия является:</w:t>
      </w:r>
    </w:p>
    <w:p>
      <w:pPr>
        <w:pStyle w:val="Normal"/>
        <w:widowControl/>
        <w:numPr>
          <w:ilvl w:val="0"/>
          <w:numId w:val="2"/>
        </w:numPr>
        <w:jc w:val="both"/>
        <w:rPr>
          <w:iCs/>
        </w:rPr>
      </w:pPr>
      <w:r>
        <w:rPr>
          <w:iCs/>
        </w:rPr>
        <w:t>устойчивость предприятия в долгосрочном развитии;</w:t>
      </w:r>
    </w:p>
    <w:p>
      <w:pPr>
        <w:pStyle w:val="Normal"/>
        <w:widowControl/>
        <w:numPr>
          <w:ilvl w:val="0"/>
          <w:numId w:val="2"/>
        </w:numPr>
        <w:jc w:val="both"/>
        <w:rPr/>
      </w:pPr>
      <w:r>
        <w:rPr/>
        <w:t>прибыльность работы предприятия;</w:t>
      </w:r>
    </w:p>
    <w:p>
      <w:pPr>
        <w:pStyle w:val="Normal"/>
        <w:widowControl/>
        <w:numPr>
          <w:ilvl w:val="0"/>
          <w:numId w:val="2"/>
        </w:numPr>
        <w:jc w:val="both"/>
        <w:rPr/>
      </w:pPr>
      <w:r>
        <w:rPr/>
        <w:t>диверсификация деятельности;</w:t>
      </w:r>
    </w:p>
    <w:p>
      <w:pPr>
        <w:pStyle w:val="Normal"/>
        <w:widowControl/>
        <w:numPr>
          <w:ilvl w:val="0"/>
          <w:numId w:val="2"/>
        </w:numPr>
        <w:jc w:val="both"/>
        <w:rPr/>
      </w:pPr>
      <w:r>
        <w:rPr/>
        <w:t>все ответы верны.</w:t>
      </w:r>
    </w:p>
    <w:p>
      <w:pPr>
        <w:pStyle w:val="Normal"/>
        <w:ind w:left="720" w:hanging="0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2. Ускоренная амортизация - это налоговая льгота, которую получают предприятия инвестировавшие свои средства в:</w:t>
      </w:r>
    </w:p>
    <w:p>
      <w:pPr>
        <w:pStyle w:val="Normal"/>
        <w:widowControl/>
        <w:numPr>
          <w:ilvl w:val="0"/>
          <w:numId w:val="3"/>
        </w:numPr>
        <w:jc w:val="both"/>
        <w:rPr/>
      </w:pPr>
      <w:r>
        <w:rPr/>
        <w:t>оборотный капитал;</w:t>
      </w:r>
    </w:p>
    <w:p>
      <w:pPr>
        <w:pStyle w:val="Normal"/>
        <w:widowControl/>
        <w:numPr>
          <w:ilvl w:val="0"/>
          <w:numId w:val="3"/>
        </w:numPr>
        <w:jc w:val="both"/>
        <w:rPr/>
      </w:pPr>
      <w:r>
        <w:rPr/>
        <w:t>основной капитал;</w:t>
      </w:r>
    </w:p>
    <w:p>
      <w:pPr>
        <w:pStyle w:val="Normal"/>
        <w:widowControl/>
        <w:numPr>
          <w:ilvl w:val="0"/>
          <w:numId w:val="3"/>
        </w:numPr>
        <w:jc w:val="both"/>
        <w:rPr/>
      </w:pPr>
      <w:r>
        <w:rPr/>
        <w:t>запасы;</w:t>
      </w:r>
    </w:p>
    <w:p>
      <w:pPr>
        <w:pStyle w:val="Normal"/>
        <w:widowControl/>
        <w:numPr>
          <w:ilvl w:val="0"/>
          <w:numId w:val="3"/>
        </w:numPr>
        <w:jc w:val="both"/>
        <w:rPr/>
      </w:pPr>
      <w:r>
        <w:rPr/>
        <w:t>финансовые вложения.</w:t>
      </w:r>
    </w:p>
    <w:p>
      <w:pPr>
        <w:pStyle w:val="Normal"/>
        <w:widowControl/>
        <w:ind w:left="720" w:hanging="0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3. С позиции актива риск характеризует вероятность:</w:t>
      </w:r>
    </w:p>
    <w:p>
      <w:pPr>
        <w:pStyle w:val="Normal"/>
        <w:widowControl/>
        <w:numPr>
          <w:ilvl w:val="0"/>
          <w:numId w:val="4"/>
        </w:numPr>
        <w:jc w:val="both"/>
        <w:rPr/>
      </w:pPr>
      <w:r>
        <w:rPr/>
        <w:t>неполучения ожидаемого дохода;</w:t>
      </w:r>
    </w:p>
    <w:p>
      <w:pPr>
        <w:pStyle w:val="Normal"/>
        <w:widowControl/>
        <w:numPr>
          <w:ilvl w:val="0"/>
          <w:numId w:val="4"/>
        </w:numPr>
        <w:jc w:val="both"/>
        <w:rPr/>
      </w:pPr>
      <w:r>
        <w:rPr/>
        <w:t>потери инвестиционной привлекательности;</w:t>
      </w:r>
    </w:p>
    <w:p>
      <w:pPr>
        <w:pStyle w:val="Normal"/>
        <w:widowControl/>
        <w:numPr>
          <w:ilvl w:val="0"/>
          <w:numId w:val="4"/>
        </w:numPr>
        <w:jc w:val="both"/>
        <w:rPr/>
      </w:pPr>
      <w:r>
        <w:rPr/>
        <w:t>снижения конкурентоспособности на рынке;</w:t>
      </w:r>
    </w:p>
    <w:p>
      <w:pPr>
        <w:pStyle w:val="Normal"/>
        <w:widowControl/>
        <w:numPr>
          <w:ilvl w:val="0"/>
          <w:numId w:val="4"/>
        </w:numPr>
        <w:jc w:val="both"/>
        <w:rPr/>
      </w:pPr>
      <w:r>
        <w:rPr/>
        <w:t>физического и морального устаревания.</w:t>
      </w:r>
    </w:p>
    <w:p>
      <w:pPr>
        <w:pStyle w:val="Normal"/>
        <w:ind w:left="720" w:hanging="0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4. К направлениям работы служб безопасности предприятия относится:</w:t>
      </w:r>
    </w:p>
    <w:p>
      <w:pPr>
        <w:pStyle w:val="Normal"/>
        <w:widowControl/>
        <w:numPr>
          <w:ilvl w:val="0"/>
          <w:numId w:val="5"/>
        </w:numPr>
        <w:jc w:val="both"/>
        <w:rPr/>
      </w:pPr>
      <w:r>
        <w:rPr/>
        <w:t>изучение криминальных аспектов рынка, состояния и влияния теневой экономики на рынок;</w:t>
      </w:r>
    </w:p>
    <w:p>
      <w:pPr>
        <w:pStyle w:val="Normal"/>
        <w:widowControl/>
        <w:numPr>
          <w:ilvl w:val="0"/>
          <w:numId w:val="5"/>
        </w:numPr>
        <w:jc w:val="both"/>
        <w:rPr/>
      </w:pPr>
      <w:r>
        <w:rPr/>
        <w:t>сбор информации, заключившей с предприятием контракты;</w:t>
      </w:r>
    </w:p>
    <w:p>
      <w:pPr>
        <w:pStyle w:val="Normal"/>
        <w:widowControl/>
        <w:numPr>
          <w:ilvl w:val="0"/>
          <w:numId w:val="5"/>
        </w:numPr>
        <w:jc w:val="both"/>
        <w:rPr/>
      </w:pPr>
      <w:r>
        <w:rPr/>
        <w:t>установление обстоятельств недобросовестной конкуренции со стороны других фирм;</w:t>
      </w:r>
    </w:p>
    <w:p>
      <w:pPr>
        <w:pStyle w:val="Normal"/>
        <w:widowControl/>
        <w:numPr>
          <w:ilvl w:val="0"/>
          <w:numId w:val="5"/>
        </w:numPr>
        <w:jc w:val="both"/>
        <w:rPr/>
      </w:pPr>
      <w:r>
        <w:rPr/>
        <w:t>все ответы верны.</w:t>
      </w:r>
    </w:p>
    <w:p>
      <w:pPr>
        <w:pStyle w:val="Normal"/>
        <w:ind w:left="720" w:hanging="0"/>
        <w:jc w:val="both"/>
        <w:rPr/>
      </w:pPr>
      <w:r>
        <w:rPr/>
      </w:r>
    </w:p>
    <w:p>
      <w:pPr>
        <w:pStyle w:val="Normal"/>
        <w:ind w:left="720" w:hanging="0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5. К основным внешним угрозам экономической безопасности предприятия относится:</w:t>
      </w:r>
    </w:p>
    <w:p>
      <w:pPr>
        <w:pStyle w:val="Normal"/>
        <w:widowControl/>
        <w:numPr>
          <w:ilvl w:val="0"/>
          <w:numId w:val="6"/>
        </w:numPr>
        <w:jc w:val="both"/>
        <w:rPr/>
      </w:pPr>
      <w:r>
        <w:rPr/>
        <w:t>политическая и экономическая нестабильность, деятельность организованных преступных групп;</w:t>
      </w:r>
    </w:p>
    <w:p>
      <w:pPr>
        <w:pStyle w:val="Normal"/>
        <w:widowControl/>
        <w:numPr>
          <w:ilvl w:val="0"/>
          <w:numId w:val="6"/>
        </w:numPr>
        <w:jc w:val="both"/>
        <w:rPr/>
      </w:pPr>
      <w:r>
        <w:rPr/>
        <w:t>утрата сотрудниками организации морально-этических и социальных ценностей и ориентиров;</w:t>
      </w:r>
    </w:p>
    <w:p>
      <w:pPr>
        <w:pStyle w:val="Normal"/>
        <w:widowControl/>
        <w:numPr>
          <w:ilvl w:val="0"/>
          <w:numId w:val="6"/>
        </w:numPr>
        <w:jc w:val="both"/>
        <w:rPr/>
      </w:pPr>
      <w:r>
        <w:rPr/>
        <w:t>нарушение режима сохранности (хищения, нанесение материального ущерба);</w:t>
      </w:r>
    </w:p>
    <w:p>
      <w:pPr>
        <w:pStyle w:val="Normal"/>
        <w:widowControl/>
        <w:numPr>
          <w:ilvl w:val="0"/>
          <w:numId w:val="6"/>
        </w:numPr>
        <w:jc w:val="both"/>
        <w:rPr/>
      </w:pPr>
      <w:r>
        <w:rPr/>
        <w:t>хищение имущества организации управленческим аппаратом и менеджерами компании.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6. Уровень достаточности капитала (показатель Базель) считается как отношение:</w:t>
      </w:r>
    </w:p>
    <w:p>
      <w:pPr>
        <w:pStyle w:val="Normal"/>
        <w:widowControl/>
        <w:numPr>
          <w:ilvl w:val="0"/>
          <w:numId w:val="7"/>
        </w:numPr>
        <w:jc w:val="both"/>
        <w:rPr/>
      </w:pPr>
      <w:r>
        <w:rPr/>
        <w:t>собственного капитала к валюте баланса;</w:t>
      </w:r>
    </w:p>
    <w:p>
      <w:pPr>
        <w:pStyle w:val="Normal"/>
        <w:widowControl/>
        <w:numPr>
          <w:ilvl w:val="0"/>
          <w:numId w:val="7"/>
        </w:numPr>
        <w:jc w:val="both"/>
        <w:rPr/>
      </w:pPr>
      <w:r>
        <w:rPr/>
        <w:t>собственного капитала к заемным средствам;</w:t>
      </w:r>
    </w:p>
    <w:p>
      <w:pPr>
        <w:pStyle w:val="Normal"/>
        <w:widowControl/>
        <w:numPr>
          <w:ilvl w:val="0"/>
          <w:numId w:val="7"/>
        </w:numPr>
        <w:jc w:val="both"/>
        <w:rPr/>
      </w:pPr>
      <w:r>
        <w:rPr/>
        <w:t>прибыли к совокупным затратам;</w:t>
      </w:r>
    </w:p>
    <w:p>
      <w:pPr>
        <w:pStyle w:val="Normal"/>
        <w:widowControl/>
        <w:numPr>
          <w:ilvl w:val="0"/>
          <w:numId w:val="7"/>
        </w:numPr>
        <w:jc w:val="both"/>
        <w:rPr/>
      </w:pPr>
      <w:r>
        <w:rPr/>
        <w:t>выручки к совокупным затратам.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color w:val="000000"/>
        </w:rPr>
      </w:pPr>
      <w:r>
        <w:rPr/>
        <w:t xml:space="preserve">7. </w:t>
      </w:r>
      <w:r>
        <w:rPr>
          <w:color w:val="000000"/>
        </w:rPr>
        <w:t>К факторам, создающим угрозы экономической безопасности предприятий, можно отнести:</w:t>
      </w:r>
    </w:p>
    <w:p>
      <w:pPr>
        <w:pStyle w:val="Normal"/>
        <w:widowControl/>
        <w:numPr>
          <w:ilvl w:val="0"/>
          <w:numId w:val="8"/>
        </w:numPr>
        <w:jc w:val="both"/>
        <w:rPr>
          <w:color w:val="000000"/>
        </w:rPr>
      </w:pPr>
      <w:r>
        <w:rPr>
          <w:color w:val="000000"/>
        </w:rPr>
        <w:t>снижение уровня выполнения норм законодательных актов, ослабление государственного управления и контроля;</w:t>
      </w:r>
    </w:p>
    <w:p>
      <w:pPr>
        <w:pStyle w:val="Normal"/>
        <w:widowControl/>
        <w:numPr>
          <w:ilvl w:val="0"/>
          <w:numId w:val="8"/>
        </w:numPr>
        <w:jc w:val="both"/>
        <w:rPr>
          <w:color w:val="000000"/>
        </w:rPr>
      </w:pPr>
      <w:r>
        <w:rPr>
          <w:color w:val="000000"/>
        </w:rPr>
        <w:t>рост масштабов и видов коррупции в экономических и финансовых сферах, распространение организованной преступности;</w:t>
      </w:r>
    </w:p>
    <w:p>
      <w:pPr>
        <w:pStyle w:val="Normal"/>
        <w:widowControl/>
        <w:numPr>
          <w:ilvl w:val="0"/>
          <w:numId w:val="8"/>
        </w:numPr>
        <w:jc w:val="both"/>
        <w:rPr>
          <w:color w:val="000000"/>
        </w:rPr>
      </w:pPr>
      <w:r>
        <w:rPr>
          <w:color w:val="000000"/>
        </w:rPr>
        <w:t>расширение неравенства в региональном развитии, ведущее к экономическому дисбалансу;</w:t>
      </w:r>
    </w:p>
    <w:p>
      <w:pPr>
        <w:pStyle w:val="Normal"/>
        <w:widowControl/>
        <w:numPr>
          <w:ilvl w:val="0"/>
          <w:numId w:val="8"/>
        </w:numPr>
        <w:jc w:val="both"/>
        <w:rPr/>
      </w:pPr>
      <w:r>
        <w:rPr/>
        <w:t>все вышеперечисленное.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rFonts w:eastAsia="Calibri"/>
        </w:rPr>
      </w:pPr>
      <w:r>
        <w:rPr/>
        <w:t xml:space="preserve">8. Оценка экономической безопасности предприятий в упрощенном виде может основываться на методике оценки реальной стоимости имущества. При </w:t>
      </w:r>
      <w:r>
        <w:rPr>
          <w:rFonts w:eastAsia="Calibri"/>
        </w:rPr>
        <w:t>применение данной методики не рассчитываются следующие группы показателей:</w:t>
      </w:r>
    </w:p>
    <w:p>
      <w:pPr>
        <w:pStyle w:val="Normal"/>
        <w:widowControl/>
        <w:numPr>
          <w:ilvl w:val="0"/>
          <w:numId w:val="9"/>
        </w:numPr>
        <w:jc w:val="both"/>
        <w:rPr>
          <w:color w:val="000000"/>
        </w:rPr>
      </w:pPr>
      <w:r>
        <w:rPr>
          <w:rFonts w:eastAsia="Calibri"/>
        </w:rPr>
        <w:t>Коэффициенты ликвидности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9"/>
        </w:numPr>
        <w:jc w:val="both"/>
        <w:rPr>
          <w:color w:val="000000"/>
        </w:rPr>
      </w:pPr>
      <w:r>
        <w:rPr>
          <w:rFonts w:eastAsia="Calibri"/>
        </w:rPr>
        <w:t>Коэффициенты финансовой устойчивости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9"/>
        </w:numPr>
        <w:jc w:val="both"/>
        <w:rPr>
          <w:color w:val="000000"/>
        </w:rPr>
      </w:pPr>
      <w:r>
        <w:rPr>
          <w:rFonts w:eastAsia="Calibri"/>
        </w:rPr>
        <w:t>Коэффициенты рентабельности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9"/>
        </w:numPr>
        <w:jc w:val="both"/>
        <w:rPr/>
      </w:pPr>
      <w:r>
        <w:rPr>
          <w:rFonts w:eastAsia="Calibri"/>
        </w:rPr>
        <w:t>Коэффициенты движения рабочей силы</w:t>
      </w:r>
      <w:r>
        <w:rPr/>
        <w:t>.</w:t>
      </w:r>
    </w:p>
    <w:p>
      <w:pPr>
        <w:pStyle w:val="Normal"/>
        <w:ind w:left="720" w:hanging="0"/>
        <w:jc w:val="both"/>
        <w:rPr>
          <w:rFonts w:eastAsia="Calibri"/>
        </w:rPr>
      </w:pPr>
      <w:r>
        <w:rPr>
          <w:rFonts w:eastAsia="Calibri"/>
        </w:rPr>
      </w:r>
    </w:p>
    <w:p>
      <w:pPr>
        <w:pStyle w:val="Normal"/>
        <w:jc w:val="both"/>
        <w:rPr/>
      </w:pPr>
      <w:r>
        <w:rPr/>
        <w:t>9. К индикаторам экономической безопасности предприятий не относятся:</w:t>
      </w:r>
    </w:p>
    <w:p>
      <w:pPr>
        <w:pStyle w:val="Normal"/>
        <w:widowControl/>
        <w:numPr>
          <w:ilvl w:val="0"/>
          <w:numId w:val="10"/>
        </w:numPr>
        <w:jc w:val="both"/>
        <w:rPr>
          <w:color w:val="000000"/>
        </w:rPr>
      </w:pPr>
      <w:r>
        <w:rPr>
          <w:rFonts w:eastAsia="Calibri"/>
        </w:rPr>
        <w:t>производственные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0"/>
        </w:numPr>
        <w:jc w:val="both"/>
        <w:rPr>
          <w:color w:val="000000"/>
        </w:rPr>
      </w:pPr>
      <w:r>
        <w:rPr>
          <w:rFonts w:eastAsia="Calibri"/>
        </w:rPr>
        <w:t>финансово-хозяйственные показатели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0"/>
        </w:numPr>
        <w:jc w:val="both"/>
        <w:rPr>
          <w:color w:val="000000"/>
        </w:rPr>
      </w:pPr>
      <w:r>
        <w:rPr>
          <w:rFonts w:eastAsia="Calibri"/>
        </w:rPr>
        <w:t>показатели социальной сферы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0"/>
        </w:numPr>
        <w:jc w:val="both"/>
        <w:rPr/>
      </w:pPr>
      <w:r>
        <w:rPr>
          <w:rFonts w:eastAsia="Calibri"/>
        </w:rPr>
        <w:t>показатели правового обеспечения</w:t>
      </w:r>
      <w:r>
        <w:rPr/>
        <w:t>.</w:t>
      </w:r>
    </w:p>
    <w:p>
      <w:pPr>
        <w:pStyle w:val="Normal"/>
        <w:jc w:val="both"/>
        <w:rPr>
          <w:rFonts w:eastAsia="Calibri"/>
        </w:rPr>
      </w:pPr>
      <w:r>
        <w:rPr>
          <w:rFonts w:eastAsia="Calibri"/>
        </w:rPr>
      </w:r>
    </w:p>
    <w:p>
      <w:pPr>
        <w:pStyle w:val="Normal"/>
        <w:jc w:val="both"/>
        <w:rPr/>
      </w:pPr>
      <w:r>
        <w:rPr>
          <w:rFonts w:eastAsia="Calibri"/>
        </w:rPr>
        <w:t>10. Расчет показателей экономической безопасности предприятий строится на основе методики анализа:</w:t>
      </w:r>
    </w:p>
    <w:p>
      <w:pPr>
        <w:pStyle w:val="Normal"/>
        <w:widowControl/>
        <w:numPr>
          <w:ilvl w:val="0"/>
          <w:numId w:val="11"/>
        </w:numPr>
        <w:jc w:val="both"/>
        <w:rPr>
          <w:color w:val="000000"/>
        </w:rPr>
      </w:pPr>
      <w:r>
        <w:rPr>
          <w:rFonts w:eastAsia="Calibri"/>
        </w:rPr>
        <w:t>диагностики банкротства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1"/>
        </w:numPr>
        <w:jc w:val="both"/>
        <w:rPr>
          <w:color w:val="000000"/>
        </w:rPr>
      </w:pPr>
      <w:r>
        <w:rPr>
          <w:rFonts w:eastAsia="Calibri"/>
        </w:rPr>
        <w:t>финансовых результатов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1"/>
        </w:numPr>
        <w:jc w:val="both"/>
        <w:rPr>
          <w:color w:val="000000"/>
        </w:rPr>
      </w:pPr>
      <w:r>
        <w:rPr>
          <w:rFonts w:eastAsia="Calibri"/>
        </w:rPr>
        <w:t>эффективности использования трудовых ресурсов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1"/>
        </w:numPr>
        <w:jc w:val="both"/>
        <w:rPr/>
      </w:pPr>
      <w:r>
        <w:rPr>
          <w:rFonts w:eastAsia="Calibri"/>
        </w:rPr>
        <w:t>эффективности использования основных фондов</w:t>
      </w:r>
      <w:r>
        <w:rPr/>
        <w:t>.</w:t>
      </w:r>
    </w:p>
    <w:p>
      <w:pPr>
        <w:pStyle w:val="Normal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jc w:val="both"/>
        <w:rPr>
          <w:color w:val="000000"/>
        </w:rPr>
      </w:pPr>
      <w:r>
        <w:rPr/>
        <w:t>11.</w:t>
      </w:r>
      <w:r>
        <w:rPr>
          <w:color w:val="000000"/>
        </w:rPr>
        <w:t xml:space="preserve"> Наиболее распространенными видами хищения государственных средств являются:</w:t>
      </w:r>
    </w:p>
    <w:p>
      <w:pPr>
        <w:pStyle w:val="Normal"/>
        <w:widowControl/>
        <w:numPr>
          <w:ilvl w:val="0"/>
          <w:numId w:val="12"/>
        </w:numPr>
        <w:jc w:val="both"/>
        <w:rPr>
          <w:color w:val="000000"/>
        </w:rPr>
      </w:pPr>
      <w:r>
        <w:rPr>
          <w:bCs/>
          <w:color w:val="000000"/>
        </w:rPr>
        <w:t>Хищение бюджетных средств, выделенных из бюджета в виде субсидий на целевые мероприятия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2"/>
        </w:numPr>
        <w:jc w:val="both"/>
        <w:rPr>
          <w:color w:val="000000"/>
        </w:rPr>
      </w:pPr>
      <w:r>
        <w:rPr>
          <w:bCs/>
          <w:color w:val="000000"/>
        </w:rPr>
        <w:t>Способ хищения бюджетных средств путем завышения цены товаров и услуг, используемых для государственных нужд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2"/>
        </w:numPr>
        <w:jc w:val="both"/>
        <w:rPr>
          <w:color w:val="000000"/>
        </w:rPr>
      </w:pPr>
      <w:r>
        <w:rPr>
          <w:bCs/>
          <w:color w:val="000000"/>
        </w:rPr>
        <w:t>Приобретение товарно-материальных ценностей для личного пользования руководителя государственной компании за счет средств компании</w:t>
      </w:r>
      <w:r>
        <w:rPr>
          <w:color w:val="000000"/>
        </w:rPr>
        <w:t>;</w:t>
      </w:r>
    </w:p>
    <w:p>
      <w:pPr>
        <w:pStyle w:val="Normal"/>
        <w:widowControl/>
        <w:numPr>
          <w:ilvl w:val="0"/>
          <w:numId w:val="12"/>
        </w:numPr>
        <w:jc w:val="both"/>
        <w:rPr>
          <w:color w:val="000000"/>
        </w:rPr>
      </w:pPr>
      <w:r>
        <w:rPr>
          <w:bCs/>
          <w:color w:val="000000"/>
        </w:rPr>
        <w:t>Личные поездки за счет средств государственной компании под видом служебных командировок</w:t>
      </w:r>
      <w:r>
        <w:rPr>
          <w:color w:val="000000"/>
        </w:rPr>
        <w:t>.</w:t>
      </w:r>
    </w:p>
    <w:p>
      <w:pPr>
        <w:pStyle w:val="Normal"/>
        <w:ind w:left="720" w:hanging="0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  <w:t>12. Функции МВД по обеспечению экономической безопасности:</w:t>
      </w:r>
    </w:p>
    <w:p>
      <w:pPr>
        <w:pStyle w:val="Normal"/>
        <w:widowControl/>
        <w:numPr>
          <w:ilvl w:val="0"/>
          <w:numId w:val="13"/>
        </w:numPr>
        <w:rPr>
          <w:color w:val="000000"/>
          <w:spacing w:val="-1"/>
        </w:rPr>
      </w:pPr>
      <w:r>
        <w:rPr>
          <w:color w:val="000000"/>
          <w:spacing w:val="-1"/>
        </w:rPr>
        <w:t>участие в разработке и реализации государственных программ обеспечения экономической безопасности РФ;</w:t>
      </w:r>
    </w:p>
    <w:p>
      <w:pPr>
        <w:pStyle w:val="Normal"/>
        <w:widowControl/>
        <w:numPr>
          <w:ilvl w:val="0"/>
          <w:numId w:val="13"/>
        </w:numPr>
        <w:rPr>
          <w:color w:val="000000"/>
          <w:spacing w:val="-1"/>
        </w:rPr>
      </w:pPr>
      <w:r>
        <w:rPr>
          <w:color w:val="000000"/>
          <w:spacing w:val="-2"/>
        </w:rPr>
        <w:t xml:space="preserve">осуществление в установленном порядке документального </w:t>
      </w:r>
      <w:r>
        <w:rPr>
          <w:color w:val="000000"/>
          <w:spacing w:val="1"/>
        </w:rPr>
        <w:t xml:space="preserve">оформления выявленных фактов сокрытия доходов от </w:t>
      </w:r>
      <w:r>
        <w:rPr>
          <w:color w:val="000000"/>
          <w:spacing w:val="-1"/>
        </w:rPr>
        <w:t>налогообложения, уклонение от уплаты налогов;</w:t>
      </w:r>
    </w:p>
    <w:p>
      <w:pPr>
        <w:pStyle w:val="Normal"/>
        <w:widowControl/>
        <w:numPr>
          <w:ilvl w:val="0"/>
          <w:numId w:val="13"/>
        </w:numPr>
        <w:rPr>
          <w:color w:val="000000"/>
        </w:rPr>
      </w:pPr>
      <w:r>
        <w:rPr>
          <w:color w:val="000000"/>
        </w:rPr>
        <w:t>осуществление сотрудничества с международными организациями;</w:t>
      </w:r>
    </w:p>
    <w:p>
      <w:pPr>
        <w:pStyle w:val="Normal"/>
        <w:widowControl/>
        <w:numPr>
          <w:ilvl w:val="0"/>
          <w:numId w:val="13"/>
        </w:numPr>
        <w:rPr>
          <w:color w:val="000000"/>
        </w:rPr>
      </w:pPr>
      <w:r>
        <w:rPr>
          <w:color w:val="000000"/>
        </w:rPr>
        <w:t>все ответы верны.</w:t>
      </w:r>
    </w:p>
    <w:p>
      <w:pPr>
        <w:pStyle w:val="Normal"/>
        <w:widowControl/>
        <w:ind w:left="720" w:hanging="0"/>
        <w:rPr>
          <w:color w:val="000000"/>
        </w:rPr>
      </w:pPr>
      <w:r>
        <w:rPr>
          <w:color w:val="000000"/>
        </w:rPr>
      </w:r>
    </w:p>
    <w:p>
      <w:pPr>
        <w:pStyle w:val="Normal"/>
        <w:tabs>
          <w:tab w:val="clear" w:pos="708"/>
          <w:tab w:val="left" w:pos="9180" w:leader="none"/>
        </w:tabs>
        <w:jc w:val="both"/>
        <w:rPr>
          <w:bCs/>
        </w:rPr>
      </w:pPr>
      <w:r>
        <w:rPr>
          <w:bCs/>
        </w:rPr>
        <w:t>13. На современном этапе эволюции преступности в кредитно-финансовой системе России наиболее типичны:</w:t>
      </w:r>
    </w:p>
    <w:p>
      <w:pPr>
        <w:pStyle w:val="Normal"/>
        <w:widowControl/>
        <w:numPr>
          <w:ilvl w:val="0"/>
          <w:numId w:val="14"/>
        </w:numPr>
        <w:jc w:val="both"/>
        <w:rPr/>
      </w:pPr>
      <w:r>
        <w:rPr/>
        <w:t>мошеннические операции финансовых компаний-пирамид;</w:t>
      </w:r>
    </w:p>
    <w:p>
      <w:pPr>
        <w:pStyle w:val="Normal"/>
        <w:widowControl/>
        <w:numPr>
          <w:ilvl w:val="0"/>
          <w:numId w:val="14"/>
        </w:numPr>
        <w:jc w:val="both"/>
        <w:rPr/>
      </w:pPr>
      <w:r>
        <w:rPr/>
        <w:t>хищение кредитных ресурсов коммерческих банков;</w:t>
      </w:r>
    </w:p>
    <w:p>
      <w:pPr>
        <w:pStyle w:val="Normal"/>
        <w:widowControl/>
        <w:numPr>
          <w:ilvl w:val="0"/>
          <w:numId w:val="14"/>
        </w:numPr>
        <w:jc w:val="both"/>
        <w:rPr/>
      </w:pPr>
      <w:r>
        <w:rPr/>
        <w:t>хищение денежных средств с использованием электронных средств доступа;</w:t>
      </w:r>
    </w:p>
    <w:p>
      <w:pPr>
        <w:pStyle w:val="Normal"/>
        <w:widowControl/>
        <w:numPr>
          <w:ilvl w:val="0"/>
          <w:numId w:val="14"/>
        </w:numPr>
        <w:jc w:val="both"/>
        <w:rPr/>
      </w:pPr>
      <w:r>
        <w:rPr/>
        <w:t>все ответы верны.</w:t>
      </w:r>
    </w:p>
    <w:p>
      <w:pPr>
        <w:pStyle w:val="Normal"/>
        <w:ind w:left="720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9180" w:leader="none"/>
        </w:tabs>
        <w:jc w:val="both"/>
        <w:rPr/>
      </w:pPr>
      <w:r>
        <w:rPr/>
        <w:t>14. К важнейшим экономическим причинам налоговой преступности относятся:</w:t>
      </w:r>
    </w:p>
    <w:p>
      <w:pPr>
        <w:pStyle w:val="Normal"/>
        <w:widowControl/>
        <w:numPr>
          <w:ilvl w:val="0"/>
          <w:numId w:val="15"/>
        </w:numPr>
        <w:jc w:val="both"/>
        <w:rPr/>
      </w:pPr>
      <w:r>
        <w:rPr/>
        <w:t>ухудшение материального положения бизнеса и населения;</w:t>
      </w:r>
    </w:p>
    <w:p>
      <w:pPr>
        <w:pStyle w:val="Normal"/>
        <w:widowControl/>
        <w:numPr>
          <w:ilvl w:val="0"/>
          <w:numId w:val="15"/>
        </w:numPr>
        <w:jc w:val="both"/>
        <w:rPr/>
      </w:pPr>
      <w:r>
        <w:rPr/>
        <w:t>высокий уровень налоговой нагрузки;</w:t>
      </w:r>
    </w:p>
    <w:p>
      <w:pPr>
        <w:pStyle w:val="Normal"/>
        <w:widowControl/>
        <w:numPr>
          <w:ilvl w:val="0"/>
          <w:numId w:val="15"/>
        </w:numPr>
        <w:jc w:val="both"/>
        <w:rPr/>
      </w:pPr>
      <w:r>
        <w:rPr/>
        <w:t>несовершенство и нестабильность налогового законодательства;</w:t>
      </w:r>
    </w:p>
    <w:p>
      <w:pPr>
        <w:pStyle w:val="Normal"/>
        <w:widowControl/>
        <w:numPr>
          <w:ilvl w:val="0"/>
          <w:numId w:val="15"/>
        </w:numPr>
        <w:jc w:val="both"/>
        <w:rPr/>
      </w:pPr>
      <w:r>
        <w:rPr/>
        <w:t>все вышеперечисленное.</w:t>
      </w:r>
    </w:p>
    <w:p>
      <w:pPr>
        <w:pStyle w:val="Normal"/>
        <w:ind w:left="720" w:hanging="0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15. Особенности и социальная опасность преступности в сфере экономики связаны с:</w:t>
      </w:r>
    </w:p>
    <w:p>
      <w:pPr>
        <w:pStyle w:val="Normal"/>
        <w:widowControl/>
        <w:numPr>
          <w:ilvl w:val="0"/>
          <w:numId w:val="16"/>
        </w:numPr>
        <w:rPr/>
      </w:pPr>
      <w:r>
        <w:rPr/>
        <w:t>высокой латентностью;</w:t>
      </w:r>
    </w:p>
    <w:p>
      <w:pPr>
        <w:pStyle w:val="Normal"/>
        <w:widowControl/>
        <w:numPr>
          <w:ilvl w:val="0"/>
          <w:numId w:val="16"/>
        </w:numPr>
        <w:rPr/>
      </w:pPr>
      <w:r>
        <w:rPr/>
        <w:t>большими размерами;</w:t>
      </w:r>
    </w:p>
    <w:p>
      <w:pPr>
        <w:pStyle w:val="Normal"/>
        <w:widowControl/>
        <w:numPr>
          <w:ilvl w:val="0"/>
          <w:numId w:val="16"/>
        </w:numPr>
        <w:rPr/>
      </w:pPr>
      <w:r>
        <w:rPr/>
        <w:t>выраженным организованным характером;</w:t>
      </w:r>
    </w:p>
    <w:p>
      <w:pPr>
        <w:pStyle w:val="Normal"/>
        <w:widowControl/>
        <w:numPr>
          <w:ilvl w:val="0"/>
          <w:numId w:val="16"/>
        </w:numPr>
        <w:rPr/>
      </w:pPr>
      <w:r>
        <w:rPr/>
        <w:t>все ответы верны.</w:t>
      </w:r>
    </w:p>
    <w:p>
      <w:pPr>
        <w:pStyle w:val="Normal"/>
        <w:rPr>
          <w:b/>
          <w:b/>
          <w:sz w:val="22"/>
          <w:u w:val="single"/>
        </w:rPr>
      </w:pPr>
      <w:r>
        <w:rPr>
          <w:b/>
          <w:sz w:val="22"/>
          <w:u w:val="single"/>
        </w:rPr>
        <w:t>б) типовые практические задания:</w:t>
      </w:r>
    </w:p>
    <w:p>
      <w:pPr>
        <w:pStyle w:val="Normal"/>
        <w:rPr>
          <w:b/>
          <w:b/>
          <w:sz w:val="22"/>
          <w:u w:val="single"/>
        </w:rPr>
      </w:pPr>
      <w:r>
        <w:rPr>
          <w:b/>
          <w:sz w:val="22"/>
          <w:u w:val="single"/>
        </w:rPr>
      </w:r>
    </w:p>
    <w:p>
      <w:pPr>
        <w:pStyle w:val="Normal"/>
        <w:spacing w:lineRule="auto" w:line="288"/>
        <w:rPr/>
      </w:pPr>
      <w:r>
        <w:rPr/>
      </w:r>
    </w:p>
    <w:p>
      <w:pPr>
        <w:pStyle w:val="Normal"/>
        <w:ind w:firstLine="709"/>
        <w:jc w:val="both"/>
        <w:rPr/>
      </w:pPr>
      <w:r>
        <w:rPr>
          <w:b/>
        </w:rPr>
        <w:t xml:space="preserve">Задание 1. </w:t>
      </w:r>
      <w:r>
        <w:rPr/>
        <w:t>На основании исходных данных (таблица 1) провести индикативную оценку экономической безопасности организации. Результаты необходимо оформить в соответствии с таблицей 2 и сделать выводы.</w:t>
      </w:r>
    </w:p>
    <w:p>
      <w:pPr>
        <w:pStyle w:val="Normal"/>
        <w:spacing w:lineRule="auto" w:line="288"/>
        <w:ind w:firstLine="709"/>
        <w:jc w:val="both"/>
        <w:rPr>
          <w:i/>
          <w:i/>
        </w:rPr>
      </w:pPr>
      <w:r>
        <w:rPr>
          <w:i/>
        </w:rPr>
        <w:t>Исходные данные:</w:t>
      </w:r>
    </w:p>
    <w:p>
      <w:pPr>
        <w:pStyle w:val="Normal"/>
        <w:spacing w:lineRule="auto" w:line="288"/>
        <w:jc w:val="center"/>
        <w:rPr/>
      </w:pPr>
      <w:r>
        <w:rPr/>
        <w:t>Таблица 1 – Исходные данные</w:t>
      </w:r>
    </w:p>
    <w:tbl>
      <w:tblPr>
        <w:tblW w:w="10065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984"/>
        <w:gridCol w:w="1514"/>
        <w:gridCol w:w="2006"/>
        <w:gridCol w:w="1560"/>
      </w:tblGrid>
      <w:tr>
        <w:trPr>
          <w:trHeight w:val="262" w:hRule="atLeast"/>
        </w:trPr>
        <w:tc>
          <w:tcPr>
            <w:tcW w:w="4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Показатель</w:t>
            </w:r>
          </w:p>
        </w:tc>
        <w:tc>
          <w:tcPr>
            <w:tcW w:w="5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Значение</w:t>
            </w:r>
          </w:p>
        </w:tc>
      </w:tr>
      <w:tr>
        <w:trPr/>
        <w:tc>
          <w:tcPr>
            <w:tcW w:w="498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2018 г.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2019 г.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2020 г.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1. Валовая продукция (по себестоимости), тыс. руб.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81040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77540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89210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2.Выручка от реализации, тыс. руб.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100985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97850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110060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3.Основные производственные фонды:</w:t>
            </w:r>
          </w:p>
          <w:p>
            <w:pPr>
              <w:pStyle w:val="Normal"/>
              <w:widowControl w:val="false"/>
              <w:ind w:firstLine="284"/>
              <w:rPr/>
            </w:pPr>
            <w:r>
              <w:rPr/>
              <w:t xml:space="preserve">– </w:t>
            </w:r>
            <w:r>
              <w:rPr/>
              <w:t>на начало года</w:t>
            </w:r>
          </w:p>
          <w:p>
            <w:pPr>
              <w:pStyle w:val="Normal"/>
              <w:widowControl w:val="false"/>
              <w:ind w:firstLine="284"/>
              <w:rPr/>
            </w:pPr>
            <w:r>
              <w:rPr/>
              <w:t xml:space="preserve">– </w:t>
            </w:r>
            <w:r>
              <w:rPr/>
              <w:t>поступило</w:t>
            </w:r>
          </w:p>
          <w:p>
            <w:pPr>
              <w:pStyle w:val="Normal"/>
              <w:widowControl w:val="false"/>
              <w:ind w:firstLine="284"/>
              <w:rPr/>
            </w:pPr>
            <w:r>
              <w:rPr/>
              <w:t xml:space="preserve">– </w:t>
            </w:r>
            <w:r>
              <w:rPr/>
              <w:t>выбыло</w:t>
            </w:r>
          </w:p>
          <w:p>
            <w:pPr>
              <w:pStyle w:val="Normal"/>
              <w:widowControl w:val="false"/>
              <w:ind w:firstLine="284"/>
              <w:rPr/>
            </w:pPr>
            <w:r>
              <w:rPr/>
              <w:t xml:space="preserve">– </w:t>
            </w:r>
            <w:r>
              <w:rPr/>
              <w:t>на конец года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45400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4780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3510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46670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46670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5700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5330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47040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47040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2930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4905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45065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4.Средняя фактическая цена реализации единицы изделия, руб.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2600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2860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3289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5.Средняя рыночная цена реализации единицы аналогичного изделия, руб.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2540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2700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3310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6.Среднесписочная численность работников, чел.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232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235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217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7. Количество принятых работников, чел.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7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18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8. Количество уволенных работников, чел.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4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9. Среднегодовая стоимость нематериальных активов, тыс. руб.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2170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2450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3800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10. Среднегодовая стоимость всех активов предприятия, тыс. руб.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87004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91260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95850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11. Фонд заработной платы, тыс. руб.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4756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4577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4505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rPr/>
            </w:pPr>
            <w:r>
              <w:rPr/>
              <w:t>12. Средняя заработная плата по региону, руб.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15100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15940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16600</w:t>
            </w:r>
          </w:p>
        </w:tc>
      </w:tr>
    </w:tbl>
    <w:p>
      <w:pPr>
        <w:pStyle w:val="Style42"/>
        <w:widowControl/>
        <w:tabs>
          <w:tab w:val="clear" w:pos="708"/>
          <w:tab w:val="left" w:pos="139" w:leader="none"/>
          <w:tab w:val="left" w:pos="9355" w:leader="none"/>
        </w:tabs>
        <w:spacing w:lineRule="auto" w:line="288"/>
        <w:ind w:right="-1" w:firstLine="709"/>
        <w:jc w:val="left"/>
        <w:rPr>
          <w:rStyle w:val="FontStyle164"/>
          <w:sz w:val="20"/>
          <w:szCs w:val="20"/>
        </w:rPr>
      </w:pPr>
      <w:r>
        <w:rPr>
          <w:rStyle w:val="FontStyle164"/>
          <w:sz w:val="20"/>
          <w:szCs w:val="20"/>
        </w:rPr>
        <w:t>Результаты оформите в таблицу:</w:t>
      </w:r>
    </w:p>
    <w:p>
      <w:pPr>
        <w:pStyle w:val="Style42"/>
        <w:widowControl/>
        <w:tabs>
          <w:tab w:val="clear" w:pos="708"/>
          <w:tab w:val="left" w:pos="139" w:leader="none"/>
          <w:tab w:val="left" w:pos="9355" w:leader="none"/>
        </w:tabs>
        <w:spacing w:lineRule="auto" w:line="288"/>
        <w:ind w:right="-1" w:firstLine="709"/>
        <w:jc w:val="center"/>
        <w:rPr>
          <w:rStyle w:val="FontStyle164"/>
          <w:sz w:val="20"/>
          <w:szCs w:val="20"/>
        </w:rPr>
      </w:pPr>
      <w:r>
        <w:rPr>
          <w:rStyle w:val="FontStyle164"/>
          <w:sz w:val="20"/>
          <w:szCs w:val="20"/>
        </w:rPr>
        <w:t>Таблица 2 – Оценка экономической безопасности организации</w:t>
      </w:r>
    </w:p>
    <w:tbl>
      <w:tblPr>
        <w:tblW w:w="4950" w:type="pct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5217"/>
        <w:gridCol w:w="1025"/>
        <w:gridCol w:w="1019"/>
        <w:gridCol w:w="1023"/>
        <w:gridCol w:w="1537"/>
      </w:tblGrid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  <w:sz w:val="20"/>
                <w:szCs w:val="20"/>
              </w:rPr>
            </w:pPr>
            <w:r>
              <w:rPr>
                <w:rStyle w:val="FontStyle164"/>
                <w:sz w:val="20"/>
                <w:szCs w:val="20"/>
              </w:rPr>
              <w:t>Показатель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2018 г.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2019 г.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88"/>
              <w:jc w:val="center"/>
              <w:rPr/>
            </w:pPr>
            <w:r>
              <w:rPr/>
              <w:t>2020 г.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40"/>
              <w:ind w:right="-91" w:hanging="96"/>
              <w:jc w:val="center"/>
              <w:rPr>
                <w:rStyle w:val="FontStyle164"/>
                <w:sz w:val="20"/>
                <w:szCs w:val="20"/>
              </w:rPr>
            </w:pPr>
            <w:r>
              <w:rPr>
                <w:rStyle w:val="FontStyle164"/>
                <w:sz w:val="20"/>
                <w:szCs w:val="20"/>
              </w:rPr>
              <w:t>2020 г. к 2018 г., %</w:t>
            </w:r>
          </w:p>
        </w:tc>
      </w:tr>
      <w:tr>
        <w:trPr/>
        <w:tc>
          <w:tcPr>
            <w:tcW w:w="98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  <w:i/>
                <w:i/>
                <w:sz w:val="20"/>
                <w:szCs w:val="20"/>
              </w:rPr>
            </w:pPr>
            <w:r>
              <w:rPr>
                <w:rStyle w:val="FontStyle164"/>
                <w:i/>
                <w:sz w:val="20"/>
                <w:szCs w:val="20"/>
              </w:rPr>
              <w:t>Производственные показатели:</w:t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Темп роста валовой продукции, %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Коэффициент обновления основных производственных фондов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Конкурентоспособность продукции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Фондовооруженность, руб.</w:t>
            </w:r>
          </w:p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/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98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  <w:i/>
                <w:i/>
                <w:sz w:val="20"/>
                <w:szCs w:val="20"/>
              </w:rPr>
            </w:pPr>
            <w:r>
              <w:rPr>
                <w:rStyle w:val="FontStyle164"/>
                <w:i/>
                <w:sz w:val="20"/>
                <w:szCs w:val="20"/>
              </w:rPr>
              <w:t>Финансово-хозяйственные показатели:</w:t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Фондоотдача, руб.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Фондоемкость, руб.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Капиталоемкость, руб.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Производительность труда, руб.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Рентабельность производства, %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>
          <w:trHeight w:val="533" w:hRule="atLeast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Коэффициент обеспеченности интеллектуальной собственностью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98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  <w:i/>
                <w:i/>
                <w:sz w:val="20"/>
                <w:szCs w:val="20"/>
              </w:rPr>
            </w:pPr>
            <w:r>
              <w:rPr>
                <w:rStyle w:val="FontStyle164"/>
                <w:i/>
                <w:sz w:val="20"/>
                <w:szCs w:val="20"/>
              </w:rPr>
              <w:t>Показатели социальной сферы:</w:t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Коэффициент оборота по приему работников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Коэффициент оборота по выбытию работников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Уровень заработной платы на предприятии к среднему по региону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  <w:tr>
        <w:trPr/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left"/>
              <w:rPr>
                <w:rStyle w:val="FontStyle164"/>
              </w:rPr>
            </w:pPr>
            <w:r>
              <w:rPr>
                <w:rStyle w:val="FontStyle164"/>
              </w:rPr>
              <w:t>Соотношение темпов производительности труда и средней заработной платы на предприятии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42"/>
              <w:widowControl w:val="false"/>
              <w:tabs>
                <w:tab w:val="clear" w:pos="708"/>
                <w:tab w:val="left" w:pos="139" w:leader="none"/>
                <w:tab w:val="left" w:pos="9355" w:leader="none"/>
              </w:tabs>
              <w:spacing w:lineRule="auto" w:line="288"/>
              <w:ind w:right="-1" w:hanging="0"/>
              <w:jc w:val="center"/>
              <w:rPr>
                <w:rStyle w:val="FontStyle164"/>
              </w:rPr>
            </w:pPr>
            <w:r>
              <w:rPr/>
            </w:r>
          </w:p>
        </w:tc>
      </w:tr>
    </w:tbl>
    <w:p>
      <w:pPr>
        <w:pStyle w:val="ConsPlusNormal"/>
        <w:ind w:firstLine="720"/>
        <w:rPr>
          <w:rFonts w:ascii="Times New Roman" w:hAnsi="Times New Roman" w:cs="Times New Roman"/>
          <w:b/>
          <w:b/>
        </w:rPr>
      </w:pPr>
      <w:r>
        <w:br w:type="page"/>
      </w:r>
      <w:r>
        <w:rPr>
          <w:rFonts w:cs="Times New Roman" w:ascii="Times New Roman" w:hAnsi="Times New Roman"/>
          <w:b/>
        </w:rPr>
        <w:t xml:space="preserve">Задание 2.  </w:t>
      </w:r>
      <w:r>
        <w:rPr>
          <w:rFonts w:cs="Times New Roman" w:ascii="Times New Roman" w:hAnsi="Times New Roman"/>
        </w:rPr>
        <w:t>На основании исходных данных требуется провести анализ банкротства юридического лица (с учетом всех моделей) за 2019-2020 годы.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p>
      <w:pPr>
        <w:pStyle w:val="Normal"/>
        <w:ind w:firstLine="720"/>
        <w:jc w:val="both"/>
        <w:rPr>
          <w:rFonts w:eastAsia="Calibri"/>
          <w:b/>
          <w:b/>
          <w:bCs/>
          <w:lang w:eastAsia="en-US"/>
        </w:rPr>
      </w:pPr>
      <w:r>
        <w:rPr>
          <w:i/>
        </w:rPr>
        <w:t>Методические указания:</w:t>
      </w:r>
    </w:p>
    <w:p>
      <w:pPr>
        <w:pStyle w:val="Normal"/>
        <w:ind w:firstLine="720"/>
        <w:jc w:val="both"/>
        <w:rPr>
          <w:i/>
          <w:i/>
        </w:rPr>
      </w:pPr>
      <w:r>
        <w:rPr>
          <w:rFonts w:eastAsia="Calibri"/>
          <w:bCs/>
          <w:lang w:eastAsia="en-US"/>
        </w:rPr>
        <w:t>Для выполнения задания анализа диагностики банкротства по данным бухгалтерской отчетности необходимо использовать динамические модели.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На сегодняшний день в экономический литературе упоминается четыре модели Альтмана. Двухфакторная модель Альтмана является одной из самых распространенных методик прогнозирования вероятности банкротства, при этом необходимо рассчитать влияние только двух факторов: коэффициента текущей ликвидности и удельного веса заемных средств в пассивах. Формула данной модели имеет вид:</w:t>
      </w:r>
    </w:p>
    <w:p>
      <w:pPr>
        <w:pStyle w:val="Normal"/>
        <w:numPr>
          <w:ilvl w:val="0"/>
          <w:numId w:val="0"/>
        </w:numPr>
        <w:ind w:left="0" w:firstLine="720"/>
        <w:jc w:val="both"/>
        <w:outlineLvl w:val="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p>
      <w:pPr>
        <w:pStyle w:val="Normal"/>
        <w:ind w:firstLine="720"/>
        <w:jc w:val="right"/>
        <w:rPr/>
      </w:pPr>
      <w:r>
        <w:rPr>
          <w:rFonts w:eastAsia="Calibri"/>
          <w:bCs/>
          <w:lang w:eastAsia="en-US"/>
        </w:rPr>
        <w:t>Z = -0,3877 - 1,0736 x КТЛ + 0,579 x (ЗК / П),</w:t>
      </w:r>
      <w:r>
        <w:rPr/>
        <w:t xml:space="preserve"> </w:t>
        <w:tab/>
        <w:tab/>
        <w:tab/>
        <w:tab/>
        <w:tab/>
        <w:t>(1)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где КТЛ - коэффициент текущей ликвидности;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ЗК - заемный капитал;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 - пассивы.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При значении Z&gt; 0 ситуация в анализируемой компании критична, вероятность наступления банкротства высока.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В 1968 г. была опубликована самая популярная пятифакторная модель Альтмана для акционерных обществ, акции которых котируются на рынке. Формула расчета пятифакторной модели Альтмана имеет следующий вид:</w:t>
      </w:r>
    </w:p>
    <w:p>
      <w:pPr>
        <w:pStyle w:val="Normal"/>
        <w:ind w:firstLine="720"/>
        <w:jc w:val="center"/>
        <w:rPr/>
      </w:pPr>
      <w:r>
        <w:rPr>
          <w:rFonts w:eastAsia="Calibri"/>
          <w:bCs/>
          <w:lang w:eastAsia="en-US"/>
        </w:rPr>
        <w:t xml:space="preserve">       </w:t>
      </w:r>
      <w:r>
        <w:rPr>
          <w:rFonts w:eastAsia="Calibri"/>
          <w:bCs/>
          <w:lang w:eastAsia="en-US"/>
        </w:rPr>
        <w:t>Z = 1,2X1 + 1,4X2 + 3,3X3 + 0,6X4 + X5,</w:t>
      </w:r>
      <w:r>
        <w:rPr/>
        <w:t xml:space="preserve"> </w:t>
        <w:tab/>
        <w:tab/>
        <w:tab/>
        <w:tab/>
        <w:tab/>
        <w:t xml:space="preserve">      (2)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где X1 рассчитывается как оборотный капитал за вычетом величины дебиторской задолженности (платежи по которой ожидаются более чем через 12 месяцев после отчетной даты) и величины краткосрочных обязательств к сумме активов предприятия. Показатель X1 оценивает сумму чистых ликвидных активов компании по отношению к совокупным активам;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X2 - это отношение чистой прибыли (убыток) к сумме активов предприятия. Данный показатель отражает уровень финансового рычага компании;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X3 - это отношение прибыли до налогообложения к общей стоимости активов. Показатель отражает эффективность операционной деятельности компании;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X4 - это отношение капитала и резервов к стоимости всех обязательств;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X5 - это отношение чистой прибыли к общей величине активов предприятия. Данный показатель характеризует рентабельность активов предприятия.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В результате подсчета показателя Z для конкретного предприятия делается заключение: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Если Z &lt; 1,81 - это говорит о том, что вероятность банкротства составляет от 80 до 100%.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Если 1,81 &lt;= Z &lt; 2,77, то средняя вероятность риска банкротства компании составляет от 35 до 50%.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Если 2,77 &lt; Z &lt; 2,99 - вероятность банкротства невелика (от 15 до 20%).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Если Z &gt; 2,99, это значит, что ситуация на предприятии стабильна, риск неплатежеспособности в краткосрочной перспективе незначителен.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Третья модель Альтмана была опубликована в 1983 г. Это модифицированный вариант пятифакторной модели, который имеет вид: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p>
      <w:pPr>
        <w:pStyle w:val="Normal"/>
        <w:ind w:firstLine="720"/>
        <w:jc w:val="right"/>
        <w:rPr/>
      </w:pPr>
      <w:r>
        <w:rPr>
          <w:rFonts w:eastAsia="Calibri"/>
          <w:bCs/>
          <w:lang w:eastAsia="en-US"/>
        </w:rPr>
        <w:t>Z = 0,717X1 + 0,847X2 + 3,107X3 + 0,42X4 + 0,995X5,</w:t>
      </w:r>
      <w:r>
        <w:rPr/>
        <w:t xml:space="preserve"> </w:t>
        <w:tab/>
        <w:tab/>
        <w:tab/>
        <w:t>(3)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где X4 - балансовая стоимость собственного капитала/ стоимость заемного капитала.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Если Z &lt; 1,23 - предприятие признается банкротом, при значении Z в диапазоне от 1,23 до 2,89 ситуация неопределенна, значение Z более 2,9 присуще стабильным и финансово устойчивым компаниям.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В 1977 г. британские ученые Р. Таффлер и Г. Тишоу апробировали подход Альтмана с отличающимся набором факторов, которая включает измерение доходности, соответствия оборотного капитала, финансового риска и ликвидности. Формула расчета имеет вид: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p>
      <w:pPr>
        <w:pStyle w:val="Normal"/>
        <w:ind w:firstLine="720"/>
        <w:jc w:val="right"/>
        <w:rPr/>
      </w:pPr>
      <w:r>
        <w:rPr>
          <w:rFonts w:eastAsia="Calibri"/>
          <w:bCs/>
          <w:lang w:eastAsia="en-US"/>
        </w:rPr>
        <w:t>Z = 0,53X1 + 0,13X2 + 0,18X3 + 0,16X4,</w:t>
      </w:r>
      <w:r>
        <w:rPr/>
        <w:t xml:space="preserve"> </w:t>
        <w:tab/>
        <w:tab/>
        <w:tab/>
        <w:tab/>
        <w:t>(4)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где X1 - отношение прибыли от реализации к краткосрочным обязательствам;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X2 - отношение оборотных активов за вычетом налога на добавленную стоимость к сумме долгосрочных и краткосрочных обязательств;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X3 - отношение краткосрочных обязательств к итогу по пассиву;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X4 - отношение выручки к итогу по пассиву.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При Z &gt; 0,3 вероятность банкротства низкая, а при Z &lt; 0,2 высокая.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Отечественный вариант интегральной балльной оценки финансовой устойчивости предложил В. Ковалев. 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В основе модели лежит четырехфакторная модель. На основе регрессионного уравнения рассчитывается интегральный показатель R риска банкротства предприятия. В зависимости от его значения делается вывод о вероятности наступления банкротства. Формула расчета имеет вид:</w:t>
      </w:r>
    </w:p>
    <w:p>
      <w:pPr>
        <w:pStyle w:val="Normal"/>
        <w:ind w:firstLine="72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R = 8,38X1 + X2 + 0,054X3 + 0,63X4 (табл. 3.),</w:t>
      </w:r>
      <w:r>
        <w:rPr/>
        <w:t xml:space="preserve"> </w:t>
        <w:tab/>
        <w:tab/>
        <w:tab/>
        <w:tab/>
        <w:t xml:space="preserve">  (5)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где X1 - чистый оборотный (работающий) капитал/активы;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X2 - чистая прибыль/собственный капитал;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X3 - чистый доход/валюта баланса;</w:t>
      </w:r>
    </w:p>
    <w:p>
      <w:pPr>
        <w:pStyle w:val="Normal"/>
        <w:ind w:firstLine="72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X4 - чистая прибыль/суммарные затраты.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Таблица 3</w:t>
      </w:r>
      <w:bookmarkStart w:id="0" w:name="Par68"/>
      <w:bookmarkEnd w:id="0"/>
      <w:r>
        <w:rPr>
          <w:rFonts w:eastAsia="Calibri"/>
          <w:bCs/>
          <w:lang w:eastAsia="en-US"/>
        </w:rPr>
        <w:t xml:space="preserve"> </w:t>
      </w:r>
      <w:r>
        <w:rPr>
          <w:rStyle w:val="FontStyle164"/>
        </w:rPr>
        <w:t xml:space="preserve">– </w:t>
      </w:r>
      <w:r>
        <w:rPr>
          <w:rFonts w:eastAsia="Calibri"/>
          <w:bCs/>
          <w:lang w:eastAsia="en-US"/>
        </w:rPr>
        <w:t>Связь значения показателя R и вероятности банкротства</w:t>
      </w:r>
    </w:p>
    <w:p>
      <w:pPr>
        <w:pStyle w:val="Normal"/>
        <w:ind w:firstLine="540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</w:r>
    </w:p>
    <w:tbl>
      <w:tblPr>
        <w:tblW w:w="9924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058"/>
        <w:gridCol w:w="3723"/>
        <w:gridCol w:w="3143"/>
      </w:tblGrid>
      <w:tr>
        <w:trPr/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Значение R</w:t>
            </w:r>
          </w:p>
        </w:tc>
        <w:tc>
          <w:tcPr>
            <w:tcW w:w="3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Вероятность банкротства</w:t>
            </w:r>
          </w:p>
        </w:tc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В %</w:t>
            </w:r>
          </w:p>
        </w:tc>
      </w:tr>
      <w:tr>
        <w:trPr/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Меньше 0</w:t>
            </w:r>
          </w:p>
        </w:tc>
        <w:tc>
          <w:tcPr>
            <w:tcW w:w="3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Максимальная</w:t>
            </w:r>
          </w:p>
        </w:tc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90 - 100%</w:t>
            </w:r>
          </w:p>
        </w:tc>
      </w:tr>
      <w:tr>
        <w:trPr/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0 - 0,18</w:t>
            </w:r>
          </w:p>
        </w:tc>
        <w:tc>
          <w:tcPr>
            <w:tcW w:w="3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Высокая</w:t>
            </w:r>
          </w:p>
        </w:tc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60 - 80%</w:t>
            </w:r>
          </w:p>
        </w:tc>
      </w:tr>
      <w:tr>
        <w:trPr/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0,18 - 0,32</w:t>
            </w:r>
          </w:p>
        </w:tc>
        <w:tc>
          <w:tcPr>
            <w:tcW w:w="3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Средняя</w:t>
            </w:r>
          </w:p>
        </w:tc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20 - 35%</w:t>
            </w:r>
          </w:p>
        </w:tc>
      </w:tr>
      <w:tr>
        <w:trPr/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0,32 - 0,42</w:t>
            </w:r>
          </w:p>
        </w:tc>
        <w:tc>
          <w:tcPr>
            <w:tcW w:w="3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Низкая</w:t>
            </w:r>
          </w:p>
        </w:tc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15 - 20%</w:t>
            </w:r>
          </w:p>
        </w:tc>
      </w:tr>
      <w:tr>
        <w:trPr/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Больше 0,42</w:t>
            </w:r>
          </w:p>
        </w:tc>
        <w:tc>
          <w:tcPr>
            <w:tcW w:w="3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Минимальная</w:t>
            </w:r>
          </w:p>
        </w:tc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до 10%</w:t>
            </w:r>
          </w:p>
        </w:tc>
      </w:tr>
    </w:tbl>
    <w:p>
      <w:pPr>
        <w:pStyle w:val="ConsPlus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auto" w:line="288"/>
        <w:jc w:val="center"/>
        <w:rPr>
          <w:b/>
          <w:b/>
        </w:rPr>
      </w:pPr>
      <w:r>
        <w:rPr>
          <w:b/>
        </w:rPr>
      </w:r>
    </w:p>
    <w:p>
      <w:pPr>
        <w:pStyle w:val="Normal"/>
        <w:ind w:firstLine="709"/>
        <w:jc w:val="both"/>
        <w:rPr/>
      </w:pPr>
      <w:r>
        <w:rPr/>
        <w:t>Задание 3. На основе изучения специализированной литературы по теме занятия заполнить недостающие показатели таблицы 4.</w:t>
      </w:r>
    </w:p>
    <w:p>
      <w:pPr>
        <w:pStyle w:val="Normal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</w:r>
    </w:p>
    <w:p>
      <w:pPr>
        <w:pStyle w:val="Normal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Таблица </w:t>
      </w:r>
      <w:r>
        <w:rPr>
          <w:rFonts w:eastAsia="Calibri"/>
          <w:bCs/>
          <w:lang w:eastAsia="en-US"/>
        </w:rPr>
        <w:t>4</w:t>
      </w:r>
      <w:r>
        <w:rPr>
          <w:rFonts w:eastAsia="Calibri"/>
          <w:lang w:eastAsia="en-US"/>
        </w:rPr>
        <w:t xml:space="preserve"> </w:t>
      </w:r>
      <w:r>
        <w:rPr>
          <w:rStyle w:val="FontStyle164"/>
        </w:rPr>
        <w:t xml:space="preserve">– </w:t>
      </w:r>
      <w:r>
        <w:rPr>
          <w:rFonts w:eastAsia="Calibri"/>
          <w:lang w:eastAsia="en-US"/>
        </w:rPr>
        <w:t>Понятия и процедуры по обеспечению экономической</w:t>
      </w:r>
    </w:p>
    <w:p>
      <w:pPr>
        <w:pStyle w:val="Normal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безопасности хозяйствующих субъектов - участников внешнеэкономической деятельности</w:t>
      </w:r>
    </w:p>
    <w:p>
      <w:pPr>
        <w:pStyle w:val="Normal"/>
        <w:numPr>
          <w:ilvl w:val="0"/>
          <w:numId w:val="0"/>
        </w:numPr>
        <w:ind w:left="0" w:hanging="0"/>
        <w:jc w:val="both"/>
        <w:outlineLvl w:val="0"/>
        <w:rPr>
          <w:rFonts w:ascii="Arial" w:hAnsi="Arial" w:eastAsia="Calibri" w:cs="Arial"/>
          <w:lang w:eastAsia="en-US"/>
        </w:rPr>
      </w:pPr>
      <w:r>
        <w:rPr>
          <w:rFonts w:eastAsia="Calibri" w:cs="Arial" w:ascii="Arial" w:hAnsi="Arial"/>
          <w:lang w:eastAsia="en-US"/>
        </w:rPr>
      </w:r>
    </w:p>
    <w:tbl>
      <w:tblPr>
        <w:tblW w:w="992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694"/>
        <w:gridCol w:w="7228"/>
      </w:tblGrid>
      <w:tr>
        <w:trPr/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Понятия и процедуры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Краткая характеристика</w:t>
            </w:r>
          </w:p>
        </w:tc>
      </w:tr>
      <w:tr>
        <w:trPr/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Внешние угрозы экономической безопасности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Порождаются внешней средой и подразумевают, в частности: деятельность спецслужб по добыванию экономической информации; промышленный шпионаж; мошеннические и другие противоправные действия, организованную преступность.</w:t>
            </w:r>
          </w:p>
        </w:tc>
      </w:tr>
      <w:tr>
        <w:trPr/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Внутренние угрозы экономической безопасности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Порождаются внутренней средой организации и предполагают противоправные и иные негативные действия сотрудников во вред организации, например, разглашение коммерческой тайны; отсутствие внутрифирменных стандартов по обеспечению экономической безопасности; иные нарушения порядка и правил соблюдения режима безопасности на объекте; низкий уровень финансового менеджмента; нерациональное использование активов и финансовых средств.</w:t>
            </w:r>
          </w:p>
        </w:tc>
      </w:tr>
      <w:tr>
        <w:trPr/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Низкий уровень конкурентоспособности; неблагоприятный инвестиционный и международный климат; неустойчивость финансового состояния; отрицательная динамика производства:</w:t>
            </w:r>
          </w:p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а) </w:t>
            </w:r>
            <w:r>
              <w:rPr>
                <w:rFonts w:eastAsia="Calibri"/>
                <w:bCs/>
                <w:lang w:eastAsia="en-US"/>
              </w:rPr>
              <w:t>производственные индикаторы экономической безопасности</w:t>
            </w:r>
            <w:r>
              <w:rPr>
                <w:rFonts w:eastAsia="Calibri"/>
                <w:lang w:eastAsia="en-US"/>
              </w:rPr>
              <w:t>: фактическая загруженность производственных мощностей; доля НИОКР в общем объеме работ; темпы реновации основных производственных фондов; доля производства в ВВП; конкурентоспособность продукции; состав, структура и степень изношенности машин и оборудования;</w:t>
            </w:r>
          </w:p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б) </w:t>
            </w:r>
            <w:r>
              <w:rPr>
                <w:rFonts w:eastAsia="Calibri"/>
                <w:bCs/>
                <w:lang w:eastAsia="en-US"/>
              </w:rPr>
              <w:t>финансовые индикаторы экономической безопасности</w:t>
            </w:r>
            <w:r>
              <w:rPr>
                <w:rFonts w:eastAsia="Calibri"/>
                <w:lang w:eastAsia="en-US"/>
              </w:rPr>
              <w:t>: валовой объем предполагаемой выручки от продаж; потребность в инвестициях; уровень инновационной активности; рентабельность и фондоотдача производства; просроченная дебиторская и кредиторская задолженность; обеспеченность собственными источниками финансирования оборотных средств;</w:t>
            </w:r>
          </w:p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в) </w:t>
            </w:r>
            <w:r>
              <w:rPr>
                <w:rFonts w:eastAsia="Calibri"/>
                <w:bCs/>
                <w:lang w:eastAsia="en-US"/>
              </w:rPr>
              <w:t>социальные индикаторы экономической безопасности</w:t>
            </w:r>
            <w:r>
              <w:rPr>
                <w:rFonts w:eastAsia="Calibri"/>
                <w:lang w:eastAsia="en-US"/>
              </w:rPr>
              <w:t>: сравнительный уровень оплаты труда применительно к среднеотраслевым показателям; производительность труда, обеспеченность профессиональными кадрами.</w:t>
            </w:r>
          </w:p>
        </w:tc>
      </w:tr>
    </w:tbl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</w:r>
      <w:r>
        <w:br w:type="page"/>
      </w:r>
    </w:p>
    <w:p>
      <w:pPr>
        <w:pStyle w:val="Normal"/>
        <w:jc w:val="right"/>
        <w:rPr/>
      </w:pPr>
      <w:r>
        <w:rPr/>
        <w:t>Продолжение таблицы 4</w:t>
      </w:r>
    </w:p>
    <w:tbl>
      <w:tblPr>
        <w:tblW w:w="992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694"/>
        <w:gridCol w:w="7228"/>
      </w:tblGrid>
      <w:tr>
        <w:trPr>
          <w:trHeight w:val="700" w:hRule="atLeast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Меры, осуществляемые в целях предупреждения банкротства и восстановления платежеспособности должника, - на любой стадии рассмотрения дела о банкротстве</w:t>
            </w:r>
          </w:p>
        </w:tc>
      </w:tr>
      <w:tr>
        <w:trPr>
          <w:trHeight w:val="128" w:hRule="atLeast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Наблюдение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</w:tr>
      <w:tr>
        <w:trPr>
          <w:trHeight w:val="451" w:hRule="atLeast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Финансовое оздоровление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</w:tr>
      <w:tr>
        <w:trPr/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Процедура, применяемая на любой стадии банкротства в целях прекращения производства по делу о банкротстве путем достижения соглашения между должником и кредиторами</w:t>
            </w:r>
          </w:p>
        </w:tc>
      </w:tr>
      <w:tr>
        <w:trPr/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Анализ финансового состояния должника проводится в целях определения достаточности принадлежащего должнику имущества для покрытия расходов в деле о банкротстве, в том числе расходов на выплату вознаграждения арбитражным управляющим, а также в целях определения возможности или невозможности восстановления платежеспособности должника в «О несостоятельности (банкротстве)»</w:t>
            </w:r>
          </w:p>
        </w:tc>
      </w:tr>
      <w:tr>
        <w:trPr>
          <w:trHeight w:val="593" w:hRule="atLeast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Метод государственного регулирования внешней торговли товарами путем применения ввозных и вывозных таможенных пошлин</w:t>
            </w:r>
          </w:p>
        </w:tc>
      </w:tr>
      <w:tr>
        <w:trPr>
          <w:trHeight w:val="1173" w:hRule="atLeast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Меры, затрагивающие внешнюю торговлю услугами и вводимые исходя из национальных интересов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</w:tr>
      <w:tr>
        <w:trPr>
          <w:trHeight w:val="105" w:hRule="atLeast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Ответные меры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</w:tr>
      <w:tr>
        <w:trPr/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Особый режим хозяйственной, в том числе внешнеторговой, деятельности на территориях особых экономических зон устанавливается Федеральным </w:t>
            </w:r>
            <w:hyperlink r:id="rId2">
              <w:r>
                <w:rPr>
                  <w:rFonts w:eastAsia="Calibri"/>
                  <w:lang w:eastAsia="en-US"/>
                </w:rPr>
                <w:t>законом</w:t>
              </w:r>
            </w:hyperlink>
            <w:r>
              <w:rPr>
                <w:rFonts w:eastAsia="Calibri"/>
                <w:lang w:eastAsia="en-US"/>
              </w:rPr>
              <w:t xml:space="preserve"> «Об особых экономических зонах в Российской Федерации»</w:t>
            </w:r>
          </w:p>
        </w:tc>
      </w:tr>
      <w:tr>
        <w:trPr/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Правительство Российской Федерации и органы исполнительной власти ее субъектов в рамках своей компетенции осуществляют в соответствии с международными договорами мероприятия, содействующие развитию внешнеторговой деятельности, в частности, обеспечивают: кредитование участников внешнеторговой деятельности; функционирование систем гарантий и страхования экспортных кредитов; организацию торговых выставок и ярмарок, специализированных симпозиумов и конференций и участие в них; проведение кампаний  по продвижению российских товаров, услуг, интеллектуальной собственности на мировые рынки.</w:t>
            </w:r>
          </w:p>
        </w:tc>
      </w:tr>
    </w:tbl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ConsPlus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ConsPlus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ConsPlus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ConsPlus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ConsPlus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418" w:right="567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  <w:font w:name="Arial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1769" w:hanging="10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2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17"/>
    <w:lvlOverride w:ilvl="0">
      <w:startOverride w:val="1"/>
    </w:lvlOverride>
  </w:num>
  <w:num w:numId="21">
    <w:abstractNumId w:val="17"/>
  </w:num>
</w:numbering>
</file>

<file path=word/settings.xml><?xml version="1.0" encoding="utf-8"?>
<w:settings xmlns:w="http://schemas.openxmlformats.org/wordprocessingml/2006/main">
  <w:zoom w:percent="83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10731e"/>
    <w:pPr>
      <w:widowControl w:val="false"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link w:val="a3"/>
    <w:qFormat/>
    <w:rsid w:val="0010731e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FontStyle133" w:customStyle="1">
    <w:name w:val="Font Style133"/>
    <w:uiPriority w:val="99"/>
    <w:qFormat/>
    <w:rsid w:val="0010731e"/>
    <w:rPr>
      <w:rFonts w:ascii="Times New Roman" w:hAnsi="Times New Roman" w:cs="Times New Roman"/>
      <w:b/>
      <w:bCs/>
      <w:i/>
      <w:iCs/>
      <w:sz w:val="18"/>
      <w:szCs w:val="18"/>
    </w:rPr>
  </w:style>
  <w:style w:type="character" w:styleId="FontStyle138" w:customStyle="1">
    <w:name w:val="Font Style138"/>
    <w:uiPriority w:val="99"/>
    <w:qFormat/>
    <w:rsid w:val="0010731e"/>
    <w:rPr>
      <w:rFonts w:ascii="Times New Roman" w:hAnsi="Times New Roman" w:cs="Times New Roman"/>
      <w:i/>
      <w:iCs/>
      <w:sz w:val="22"/>
      <w:szCs w:val="22"/>
    </w:rPr>
  </w:style>
  <w:style w:type="character" w:styleId="FontStyle137" w:customStyle="1">
    <w:name w:val="Font Style137"/>
    <w:uiPriority w:val="99"/>
    <w:qFormat/>
    <w:rsid w:val="0010731e"/>
    <w:rPr>
      <w:rFonts w:ascii="Times New Roman" w:hAnsi="Times New Roman" w:cs="Times New Roman"/>
      <w:sz w:val="22"/>
      <w:szCs w:val="22"/>
    </w:rPr>
  </w:style>
  <w:style w:type="character" w:styleId="11" w:customStyle="1">
    <w:name w:val="Основной текст + 11"/>
    <w:uiPriority w:val="99"/>
    <w:qFormat/>
    <w:rsid w:val="0010731e"/>
    <w:rPr>
      <w:rFonts w:ascii="Times New Roman" w:hAnsi="Times New Roman" w:cs="Times New Roman"/>
      <w:sz w:val="23"/>
      <w:szCs w:val="23"/>
      <w:u w:val="none"/>
    </w:rPr>
  </w:style>
  <w:style w:type="character" w:styleId="FontStyle164" w:customStyle="1">
    <w:name w:val="Font Style164"/>
    <w:uiPriority w:val="99"/>
    <w:qFormat/>
    <w:rsid w:val="0010731e"/>
    <w:rPr>
      <w:rFonts w:ascii="Times New Roman" w:hAnsi="Times New Roman" w:cs="Times New Roman"/>
      <w:sz w:val="16"/>
      <w:szCs w:val="16"/>
    </w:rPr>
  </w:style>
  <w:style w:type="character" w:styleId="Style15">
    <w:name w:val="Интернет-ссылка"/>
    <w:rPr>
      <w:color w:val="000080"/>
      <w:u w:val="single"/>
      <w:lang w:val="zxx" w:eastAsia="zxx" w:bidi="zxx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link w:val="a4"/>
    <w:rsid w:val="0010731e"/>
    <w:pPr>
      <w:spacing w:before="0" w:after="120"/>
    </w:pPr>
    <w:rPr/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21" w:customStyle="1">
    <w:name w:val="Основной текст 21"/>
    <w:basedOn w:val="Normal"/>
    <w:qFormat/>
    <w:rsid w:val="0010731e"/>
    <w:pPr>
      <w:widowControl/>
      <w:suppressAutoHyphens w:val="true"/>
      <w:spacing w:before="40" w:after="0"/>
    </w:pPr>
    <w:rPr>
      <w:rFonts w:cs="Calibri"/>
      <w:b/>
      <w:sz w:val="28"/>
      <w:lang w:eastAsia="ar-SA"/>
    </w:rPr>
  </w:style>
  <w:style w:type="paragraph" w:styleId="FR2" w:customStyle="1">
    <w:name w:val="FR2"/>
    <w:qFormat/>
    <w:rsid w:val="0010731e"/>
    <w:pPr>
      <w:widowControl w:val="false"/>
      <w:suppressAutoHyphens w:val="true"/>
      <w:bidi w:val="0"/>
      <w:spacing w:lineRule="auto" w:line="319" w:before="0" w:after="0"/>
      <w:ind w:firstLine="460"/>
      <w:jc w:val="both"/>
    </w:pPr>
    <w:rPr>
      <w:rFonts w:ascii="Courier New" w:hAnsi="Courier New" w:eastAsia="Times New Roman" w:cs="Calibri"/>
      <w:color w:val="auto"/>
      <w:kern w:val="0"/>
      <w:sz w:val="18"/>
      <w:szCs w:val="20"/>
      <w:lang w:val="ru-RU" w:eastAsia="ar-SA" w:bidi="ar-SA"/>
    </w:rPr>
  </w:style>
  <w:style w:type="paragraph" w:styleId="Default" w:customStyle="1">
    <w:name w:val="Default"/>
    <w:qFormat/>
    <w:rsid w:val="0010731e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ru-RU" w:bidi="ar-SA"/>
    </w:rPr>
  </w:style>
  <w:style w:type="paragraph" w:styleId="Style97" w:customStyle="1">
    <w:name w:val="Style97"/>
    <w:basedOn w:val="Normal"/>
    <w:uiPriority w:val="99"/>
    <w:qFormat/>
    <w:rsid w:val="0010731e"/>
    <w:pPr>
      <w:spacing w:lineRule="exact" w:line="298"/>
    </w:pPr>
    <w:rPr>
      <w:sz w:val="24"/>
      <w:szCs w:val="24"/>
    </w:rPr>
  </w:style>
  <w:style w:type="paragraph" w:styleId="Style51" w:customStyle="1">
    <w:name w:val="Style51"/>
    <w:basedOn w:val="Normal"/>
    <w:uiPriority w:val="99"/>
    <w:qFormat/>
    <w:rsid w:val="0010731e"/>
    <w:pPr>
      <w:spacing w:lineRule="exact" w:line="274"/>
    </w:pPr>
    <w:rPr>
      <w:sz w:val="24"/>
      <w:szCs w:val="24"/>
    </w:rPr>
  </w:style>
  <w:style w:type="paragraph" w:styleId="ConsPlusNormal" w:customStyle="1">
    <w:name w:val="ConsPlusNormal"/>
    <w:qFormat/>
    <w:rsid w:val="0010731e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Style42" w:customStyle="1">
    <w:name w:val="Style42"/>
    <w:basedOn w:val="Normal"/>
    <w:uiPriority w:val="99"/>
    <w:qFormat/>
    <w:rsid w:val="0010731e"/>
    <w:pPr>
      <w:spacing w:lineRule="exact" w:line="221"/>
      <w:jc w:val="both"/>
    </w:pPr>
    <w:rPr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consultantplus://offline/ref=9C2F4632063A983434414D8B23087086072E0A877DDEA40F0F8B1CE89A0Eb2H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LibreOffice/7.0.1.2$Windows_x86 LibreOffice_project/7cbcfc562f6eb6708b5ff7d7397325de9e764452</Application>
  <Pages>10</Pages>
  <Words>2450</Words>
  <Characters>17831</Characters>
  <CharactersWithSpaces>19920</CharactersWithSpaces>
  <Paragraphs>367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2021-09-22T21:21:00Z</dcterms:created>
  <dc:creator>user</dc:creator>
  <dc:description/>
  <dc:language>ru-RU</dc:language>
  <cp:lastModifiedBy/>
  <dcterms:modified xsi:type="dcterms:W3CDTF">2021-09-27T14:48:17Z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