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7E0F" w14:textId="77777777"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14:paraId="1927C1C5" w14:textId="77777777"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14:paraId="25415E83" w14:textId="77777777"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14:paraId="57D3870E" w14:textId="77777777"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14:paraId="68F0F827" w14:textId="77777777"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«РЯЗАНСКИЙ ГОСУДАРСТВЕННЫЙ РАДИОТЕХНИЧЕСКИЙ УНИВЕРСИТЕТ ИМЕНИ 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14:paraId="7F6CE8B9" w14:textId="77777777"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14:paraId="10290B61" w14:textId="77777777"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14:paraId="11A6399F" w14:textId="77777777"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14:paraId="30FD30C6" w14:textId="77777777"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14:paraId="7C44F59E" w14:textId="77777777"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14:paraId="7C8F987E" w14:textId="77777777"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14:paraId="2BDA21C5" w14:textId="77777777"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14:paraId="6A4E501D" w14:textId="77777777"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14:paraId="596468A9" w14:textId="77777777"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14:paraId="7C100C75" w14:textId="77777777"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14:paraId="0EBAE862" w14:textId="77777777"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rFonts w:eastAsia="TimesNewRomanPSMT"/>
          <w:b/>
          <w:sz w:val="28"/>
          <w:szCs w:val="28"/>
          <w:lang w:eastAsia="ar-SA"/>
        </w:rPr>
        <w:t>«ФИЗИЧЕСКАЯ КУЛЬТУРА И СПОРТ»</w:t>
      </w:r>
    </w:p>
    <w:p w14:paraId="33719F17" w14:textId="77777777"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14:paraId="28F104A2" w14:textId="77777777" w:rsidR="00195133" w:rsidRPr="00171214" w:rsidRDefault="00195133" w:rsidP="00195133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  <w:lang w:eastAsia="ar-SA"/>
        </w:rPr>
      </w:pPr>
    </w:p>
    <w:p w14:paraId="5C63DF50" w14:textId="77777777" w:rsidR="000B2EED" w:rsidRPr="00EC72C2" w:rsidRDefault="000B2EED" w:rsidP="000B2EED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 xml:space="preserve">Направление подготовки </w:t>
      </w:r>
    </w:p>
    <w:p w14:paraId="7E7AF5FF" w14:textId="77777777" w:rsidR="000B2EED" w:rsidRPr="00EC72C2" w:rsidRDefault="000B2EED" w:rsidP="000B2EED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EC72C2">
        <w:rPr>
          <w:sz w:val="28"/>
          <w:szCs w:val="28"/>
        </w:rPr>
        <w:t>.03.0</w:t>
      </w:r>
      <w:r>
        <w:rPr>
          <w:sz w:val="28"/>
          <w:szCs w:val="28"/>
        </w:rPr>
        <w:t>5</w:t>
      </w:r>
      <w:r w:rsidRPr="00EC7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Бизнес-информатика </w:t>
      </w:r>
    </w:p>
    <w:p w14:paraId="4E3C3418" w14:textId="77777777" w:rsidR="000B2EED" w:rsidRPr="00EC72C2" w:rsidRDefault="000B2EED" w:rsidP="000B2EED">
      <w:pPr>
        <w:jc w:val="center"/>
        <w:rPr>
          <w:sz w:val="28"/>
          <w:szCs w:val="28"/>
        </w:rPr>
      </w:pPr>
    </w:p>
    <w:p w14:paraId="76A74B51" w14:textId="77777777" w:rsidR="000B2EED" w:rsidRPr="00EC72C2" w:rsidRDefault="000B2EED" w:rsidP="000B2EED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>Направленность (профиль) подготовки</w:t>
      </w:r>
    </w:p>
    <w:p w14:paraId="0B015106" w14:textId="77777777" w:rsidR="000B2EED" w:rsidRDefault="000B2EED" w:rsidP="000B2EED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Бизнес-информатика</w:t>
      </w:r>
    </w:p>
    <w:p w14:paraId="4C8E0A8D" w14:textId="77777777" w:rsidR="000B2EED" w:rsidRPr="00EC72C2" w:rsidRDefault="000B2EED" w:rsidP="000B2EED">
      <w:pPr>
        <w:jc w:val="center"/>
        <w:rPr>
          <w:sz w:val="28"/>
          <w:szCs w:val="28"/>
        </w:rPr>
      </w:pPr>
    </w:p>
    <w:p w14:paraId="0037A5FB" w14:textId="77777777" w:rsidR="000B2EED" w:rsidRDefault="000B2EED" w:rsidP="000B2EED">
      <w:pPr>
        <w:autoSpaceDE w:val="0"/>
        <w:jc w:val="center"/>
        <w:rPr>
          <w:sz w:val="28"/>
          <w:szCs w:val="28"/>
        </w:rPr>
      </w:pPr>
      <w:r w:rsidRPr="00EC72C2">
        <w:rPr>
          <w:sz w:val="28"/>
          <w:szCs w:val="28"/>
        </w:rPr>
        <w:t>Квалификация выпускника (степень) – бакалавр</w:t>
      </w:r>
    </w:p>
    <w:p w14:paraId="71E75118" w14:textId="77777777" w:rsidR="000B2EED" w:rsidRPr="00EC72C2" w:rsidRDefault="000B2EED" w:rsidP="000B2EED">
      <w:pPr>
        <w:autoSpaceDE w:val="0"/>
        <w:jc w:val="center"/>
        <w:rPr>
          <w:sz w:val="28"/>
          <w:szCs w:val="28"/>
        </w:rPr>
      </w:pPr>
    </w:p>
    <w:p w14:paraId="521EE76D" w14:textId="77777777" w:rsidR="000B2EED" w:rsidRPr="00EC72C2" w:rsidRDefault="000B2EED" w:rsidP="000B2EED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>Форма обучения – очная</w:t>
      </w:r>
    </w:p>
    <w:p w14:paraId="7A424E59" w14:textId="77777777"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14:paraId="5CC49C59" w14:textId="77777777"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14:paraId="7DAEF172" w14:textId="77777777"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14:paraId="3B71B0EE" w14:textId="77777777" w:rsidR="00195133" w:rsidRP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14:paraId="139D6086" w14:textId="77777777"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14:paraId="178CA1CA" w14:textId="77777777"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14:paraId="09278333" w14:textId="77777777"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14:paraId="4BE0F393" w14:textId="77777777"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14:paraId="0FED2326" w14:textId="77777777"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14:paraId="56E2AD52" w14:textId="77777777" w:rsidR="000B2EED" w:rsidRDefault="000B2EED" w:rsidP="00195133">
      <w:pPr>
        <w:suppressAutoHyphens/>
        <w:spacing w:line="240" w:lineRule="auto"/>
        <w:ind w:hanging="567"/>
        <w:contextualSpacing/>
        <w:jc w:val="center"/>
        <w:rPr>
          <w:sz w:val="28"/>
          <w:szCs w:val="28"/>
          <w:lang w:eastAsia="ar-SA"/>
        </w:rPr>
      </w:pPr>
    </w:p>
    <w:p w14:paraId="5F4CCAFD" w14:textId="5782FAF7"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14:paraId="20142706" w14:textId="77777777"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14:paraId="4029E639" w14:textId="77777777"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2271F8C4" w14:textId="77777777"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09614BCD" w14:textId="77777777"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14:paraId="74A5ADB8" w14:textId="77777777"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14:paraId="1306592B" w14:textId="77777777"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14:paraId="75977AB1" w14:textId="77777777"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14:paraId="4F4AE1B8" w14:textId="77777777"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977"/>
        <w:gridCol w:w="2835"/>
      </w:tblGrid>
      <w:tr w:rsidR="00195133" w:rsidRPr="00200D51" w14:paraId="34D4D5A8" w14:textId="77777777" w:rsidTr="00056C85">
        <w:trPr>
          <w:tblHeader/>
        </w:trPr>
        <w:tc>
          <w:tcPr>
            <w:tcW w:w="3828" w:type="dxa"/>
            <w:vAlign w:val="center"/>
          </w:tcPr>
          <w:p w14:paraId="06C22EC8" w14:textId="77777777"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val="x-none" w:eastAsia="ar-SA"/>
              </w:rPr>
            </w:pPr>
            <w:r w:rsidRPr="00200D51">
              <w:rPr>
                <w:b/>
                <w:bCs/>
                <w:color w:val="000000"/>
                <w:sz w:val="22"/>
                <w:lang w:val="x-none" w:eastAsia="ar-SA"/>
              </w:rPr>
              <w:t xml:space="preserve">Контролируемые разделы (темы) </w:t>
            </w:r>
          </w:p>
          <w:p w14:paraId="62896773" w14:textId="77777777"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val="x-none" w:eastAsia="ar-SA"/>
              </w:rPr>
            </w:pPr>
            <w:r w:rsidRPr="00200D51">
              <w:rPr>
                <w:b/>
                <w:bCs/>
                <w:color w:val="000000"/>
                <w:sz w:val="22"/>
                <w:lang w:val="x-none"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val="x-none"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14:paraId="4C529AD7" w14:textId="77777777"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val="x-none" w:eastAsia="ar-SA"/>
              </w:rPr>
            </w:pPr>
            <w:r w:rsidRPr="00200D51">
              <w:rPr>
                <w:b/>
                <w:bCs/>
                <w:color w:val="000000"/>
                <w:sz w:val="22"/>
                <w:lang w:val="x-none"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14:paraId="180B11CF" w14:textId="77777777"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14:paraId="7BB6F4A8" w14:textId="77777777"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14:paraId="315D0608" w14:textId="77777777" w:rsidTr="00056C85">
        <w:tc>
          <w:tcPr>
            <w:tcW w:w="3828" w:type="dxa"/>
          </w:tcPr>
          <w:p w14:paraId="641554FD" w14:textId="77777777"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14:paraId="216A4847" w14:textId="77777777"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14:paraId="05638185" w14:textId="77777777"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14:paraId="556C87DC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3FA4D3C5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4E03D1AB" w14:textId="77777777" w:rsidTr="00056C85">
        <w:tc>
          <w:tcPr>
            <w:tcW w:w="3828" w:type="dxa"/>
          </w:tcPr>
          <w:p w14:paraId="58BD3619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14:paraId="6DD14B13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113A0A9F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7AB62CD5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39E2D4A0" w14:textId="77777777"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14:paraId="59416020" w14:textId="77777777" w:rsidTr="00056C85">
        <w:tc>
          <w:tcPr>
            <w:tcW w:w="3828" w:type="dxa"/>
          </w:tcPr>
          <w:p w14:paraId="038F7B45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14:paraId="3278B9FE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5C841A64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52F5555B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28D85489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0E2FC265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46F1AD6B" w14:textId="77777777" w:rsidTr="00056C85">
        <w:tc>
          <w:tcPr>
            <w:tcW w:w="3828" w:type="dxa"/>
          </w:tcPr>
          <w:p w14:paraId="3C1197BF" w14:textId="77777777"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>Самоконтроль занимающихся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14:paraId="09F7585A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71051FA0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6C9B4066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1B026BE3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1794C445" w14:textId="77777777" w:rsidTr="00056C85">
        <w:tc>
          <w:tcPr>
            <w:tcW w:w="3828" w:type="dxa"/>
          </w:tcPr>
          <w:p w14:paraId="4096C66D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14:paraId="7347144B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08E27324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7267E326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1682160E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77F0C355" w14:textId="77777777" w:rsidTr="00056C85">
        <w:tc>
          <w:tcPr>
            <w:tcW w:w="3828" w:type="dxa"/>
          </w:tcPr>
          <w:p w14:paraId="413A52D9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14:paraId="7589291E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29FB5F62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2B86F344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732F482C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17DB6DB3" w14:textId="77777777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DC0" w14:textId="77777777"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21EB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6464EED0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0F2A957B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4315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69D5B84A" w14:textId="77777777" w:rsidTr="00056C85">
        <w:tc>
          <w:tcPr>
            <w:tcW w:w="3828" w:type="dxa"/>
          </w:tcPr>
          <w:p w14:paraId="580C2340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14:paraId="64B12311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7A9B34B0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2F414B42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76F0FE9C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1664AC7F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2F3A4780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7D5B7303" w14:textId="77777777" w:rsidTr="00056C85">
        <w:tc>
          <w:tcPr>
            <w:tcW w:w="3828" w:type="dxa"/>
          </w:tcPr>
          <w:p w14:paraId="470BD0F7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</w:t>
            </w:r>
            <w:r w:rsidRPr="00F970F5">
              <w:rPr>
                <w:sz w:val="22"/>
                <w:szCs w:val="22"/>
              </w:rPr>
              <w:lastRenderedPageBreak/>
              <w:t xml:space="preserve">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14:paraId="2B5C64A8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</w:t>
            </w:r>
          </w:p>
          <w:p w14:paraId="128E3B1B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757E2584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03722754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4D5B640F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УК-7.4</w:t>
            </w:r>
          </w:p>
        </w:tc>
        <w:tc>
          <w:tcPr>
            <w:tcW w:w="2835" w:type="dxa"/>
          </w:tcPr>
          <w:p w14:paraId="461A632C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lastRenderedPageBreak/>
              <w:t>Зачет</w:t>
            </w:r>
          </w:p>
        </w:tc>
      </w:tr>
      <w:tr w:rsidR="00195133" w:rsidRPr="00200D51" w14:paraId="7D694711" w14:textId="77777777" w:rsidTr="00056C85">
        <w:tc>
          <w:tcPr>
            <w:tcW w:w="3828" w:type="dxa"/>
          </w:tcPr>
          <w:p w14:paraId="385826BD" w14:textId="77777777"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14:paraId="28D2E2D3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3D547B0A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6D0105EC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5B4D2006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38D27899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2787102A" w14:textId="77777777" w:rsidTr="00056C85">
        <w:tc>
          <w:tcPr>
            <w:tcW w:w="3828" w:type="dxa"/>
          </w:tcPr>
          <w:p w14:paraId="4AD84DF0" w14:textId="77777777"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14:paraId="6732C647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21ED86AF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3054A8D7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3ADDFB99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7109FEF6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0CE5DBAC" w14:textId="77777777" w:rsidTr="00056C85">
        <w:tc>
          <w:tcPr>
            <w:tcW w:w="3828" w:type="dxa"/>
          </w:tcPr>
          <w:p w14:paraId="0383EB36" w14:textId="77777777"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14:paraId="76E322D2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02BBD8F0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7B7E3265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33604A46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100E3A79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511A5D95" w14:textId="77777777" w:rsidTr="00056C85">
        <w:tc>
          <w:tcPr>
            <w:tcW w:w="3828" w:type="dxa"/>
          </w:tcPr>
          <w:p w14:paraId="6929134C" w14:textId="77777777"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14:paraId="67D64531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222948F0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24DFD463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39E3B275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6F41F9D5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1A4B7E99" w14:textId="77777777" w:rsidTr="00056C85">
        <w:tc>
          <w:tcPr>
            <w:tcW w:w="3828" w:type="dxa"/>
          </w:tcPr>
          <w:p w14:paraId="7B850B0C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14:paraId="3A05B71B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084E6872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43098487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5F2E01D6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030963EF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0202029F" w14:textId="77777777" w:rsidTr="00056C85">
        <w:tc>
          <w:tcPr>
            <w:tcW w:w="3828" w:type="dxa"/>
          </w:tcPr>
          <w:p w14:paraId="5D4484F4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14:paraId="28AD7F86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23020D53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20C5F43C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6537556C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16D4EFD9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68E5F379" w14:textId="77777777" w:rsidTr="00056C85">
        <w:tc>
          <w:tcPr>
            <w:tcW w:w="3828" w:type="dxa"/>
          </w:tcPr>
          <w:p w14:paraId="222B3660" w14:textId="77777777"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14:paraId="6ED1C596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0095EBA1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127D34C4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685DFC4C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78A4E4AF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14:paraId="58BA6A5B" w14:textId="77777777"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14:paraId="028F1980" w14:textId="77777777"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14:paraId="46D20151" w14:textId="77777777"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14:paraId="018954A7" w14:textId="77777777"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14:paraId="0C813515" w14:textId="77777777"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14:paraId="53DE12C3" w14:textId="77777777"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14:paraId="0982A7A9" w14:textId="77777777"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14:paraId="7466ADE5" w14:textId="77777777"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14:paraId="222A308A" w14:textId="77777777"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14:paraId="4794EBD5" w14:textId="77777777"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</w:t>
      </w:r>
      <w:r w:rsidRPr="00200D51">
        <w:rPr>
          <w:color w:val="000000"/>
          <w:sz w:val="22"/>
          <w:shd w:val="clear" w:color="auto" w:fill="FFFFFF"/>
          <w:lang w:eastAsia="ar-SA"/>
        </w:rPr>
        <w:lastRenderedPageBreak/>
        <w:t xml:space="preserve">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14:paraId="37283215" w14:textId="77777777"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14:paraId="1C161218" w14:textId="77777777"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14:paraId="15C0DA9E" w14:textId="77777777"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14:paraId="228FA635" w14:textId="77777777"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14:paraId="7BE80BAD" w14:textId="77777777"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14:paraId="1014F68B" w14:textId="77777777"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14:paraId="0F42EE5E" w14:textId="77777777"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14:paraId="15BF44A6" w14:textId="77777777"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14:paraId="5428FE0B" w14:textId="77777777" w:rsidTr="00056C85">
        <w:tc>
          <w:tcPr>
            <w:tcW w:w="2093" w:type="dxa"/>
            <w:vMerge w:val="restart"/>
          </w:tcPr>
          <w:p w14:paraId="65B9462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0FC4582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774F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14:paraId="2690BE3F" w14:textId="77777777" w:rsidTr="00056C85">
        <w:tc>
          <w:tcPr>
            <w:tcW w:w="2093" w:type="dxa"/>
            <w:vMerge/>
          </w:tcPr>
          <w:p w14:paraId="43A6DF03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73C648F5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18E9DB2A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5E898CF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DF27843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39FC7E94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14:paraId="383666E3" w14:textId="77777777" w:rsidTr="00056C85">
        <w:tc>
          <w:tcPr>
            <w:tcW w:w="2093" w:type="dxa"/>
          </w:tcPr>
          <w:p w14:paraId="19DF3F7F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14:paraId="24939EF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14:paraId="4E471E0F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14:paraId="1959109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14:paraId="08DE8DAF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14:paraId="5CEE2CB8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14:paraId="15BC8E9C" w14:textId="77777777" w:rsidTr="00056C85">
        <w:tc>
          <w:tcPr>
            <w:tcW w:w="2093" w:type="dxa"/>
          </w:tcPr>
          <w:p w14:paraId="1A15D65A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14:paraId="52CD03E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14:paraId="1E1B7A27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14:paraId="1F29FDB7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28F71D43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2B2A6DA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14:paraId="06454FE2" w14:textId="77777777" w:rsidTr="00056C85">
        <w:tc>
          <w:tcPr>
            <w:tcW w:w="2093" w:type="dxa"/>
          </w:tcPr>
          <w:p w14:paraId="7DB7B755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(см.)</w:t>
            </w:r>
          </w:p>
        </w:tc>
        <w:tc>
          <w:tcPr>
            <w:tcW w:w="1502" w:type="dxa"/>
          </w:tcPr>
          <w:p w14:paraId="0C012EB8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14:paraId="2469FF9E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14:paraId="118021C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14:paraId="7B9C667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14:paraId="3A13022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14:paraId="13DA3B2A" w14:textId="77777777" w:rsidTr="00056C85">
        <w:tc>
          <w:tcPr>
            <w:tcW w:w="2093" w:type="dxa"/>
          </w:tcPr>
          <w:p w14:paraId="2C1644CE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14:paraId="6D5A530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14:paraId="3D30E6C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14:paraId="1811231A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14:paraId="647C5DA2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14:paraId="1220EABE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14:paraId="1FD4F61E" w14:textId="77777777" w:rsidTr="00056C85">
        <w:tc>
          <w:tcPr>
            <w:tcW w:w="2093" w:type="dxa"/>
          </w:tcPr>
          <w:p w14:paraId="361C805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14:paraId="7E7376E4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14:paraId="2EA5165E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14:paraId="0E57F2A3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14:paraId="5F040C9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14:paraId="3962D6B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14:paraId="5D429CFC" w14:textId="77777777" w:rsidTr="00056C85">
        <w:tc>
          <w:tcPr>
            <w:tcW w:w="2093" w:type="dxa"/>
          </w:tcPr>
          <w:p w14:paraId="47F28E2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14:paraId="3F43486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14:paraId="133E5F88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14:paraId="5AE3A764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14:paraId="6A99900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14:paraId="203646B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14:paraId="5F8D6196" w14:textId="77777777"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14:paraId="4DE5A2DD" w14:textId="77777777"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14:paraId="7260E44E" w14:textId="77777777" w:rsidTr="00056C85">
        <w:tc>
          <w:tcPr>
            <w:tcW w:w="2093" w:type="dxa"/>
            <w:vMerge w:val="restart"/>
          </w:tcPr>
          <w:p w14:paraId="7DA5DD4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F273407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C9C7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14:paraId="16EA50E5" w14:textId="77777777" w:rsidTr="00056C85">
        <w:tc>
          <w:tcPr>
            <w:tcW w:w="2093" w:type="dxa"/>
            <w:vMerge/>
          </w:tcPr>
          <w:p w14:paraId="0A237ED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0EC5FDB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CA2EF67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71C73CC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0373698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7DA3FB3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14:paraId="6786ECE1" w14:textId="77777777" w:rsidTr="00056C85">
        <w:tc>
          <w:tcPr>
            <w:tcW w:w="2093" w:type="dxa"/>
          </w:tcPr>
          <w:p w14:paraId="362E0CE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14:paraId="1FB0C33F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14:paraId="5B3F018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14:paraId="1B29A5DB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14:paraId="27CC7CEE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14:paraId="6AE17D0B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14:paraId="7B416AD4" w14:textId="77777777" w:rsidTr="00056C85">
        <w:tc>
          <w:tcPr>
            <w:tcW w:w="2093" w:type="dxa"/>
          </w:tcPr>
          <w:p w14:paraId="3E3A648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14:paraId="612E90D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14:paraId="52784C9E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14:paraId="6C203D8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2BE59F7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23227078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14:paraId="5EA6D7B7" w14:textId="77777777" w:rsidTr="00056C85">
        <w:tc>
          <w:tcPr>
            <w:tcW w:w="2093" w:type="dxa"/>
          </w:tcPr>
          <w:p w14:paraId="17AC52E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(см.)</w:t>
            </w:r>
          </w:p>
        </w:tc>
        <w:tc>
          <w:tcPr>
            <w:tcW w:w="1502" w:type="dxa"/>
          </w:tcPr>
          <w:p w14:paraId="48F56CEA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14:paraId="0A6036A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14:paraId="281DA938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14:paraId="14F1893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14:paraId="1128A0A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14:paraId="7FE5754E" w14:textId="77777777" w:rsidTr="00056C85">
        <w:tc>
          <w:tcPr>
            <w:tcW w:w="2093" w:type="dxa"/>
          </w:tcPr>
          <w:p w14:paraId="41AE6D2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14:paraId="5B9E8407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14:paraId="6B3BDAFB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14:paraId="724CB23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14:paraId="035EAD1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14:paraId="622350F3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14:paraId="14823F9A" w14:textId="77777777" w:rsidTr="00056C85">
        <w:tc>
          <w:tcPr>
            <w:tcW w:w="2093" w:type="dxa"/>
          </w:tcPr>
          <w:p w14:paraId="20D23B48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л/п ноге</w:t>
            </w:r>
          </w:p>
        </w:tc>
        <w:tc>
          <w:tcPr>
            <w:tcW w:w="1502" w:type="dxa"/>
          </w:tcPr>
          <w:p w14:paraId="3C38FC1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14:paraId="712AF9E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14:paraId="18C1278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14:paraId="4516F49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14:paraId="1CB2DAD8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14:paraId="750A40B7" w14:textId="77777777" w:rsidTr="00056C85">
        <w:tc>
          <w:tcPr>
            <w:tcW w:w="2093" w:type="dxa"/>
          </w:tcPr>
          <w:p w14:paraId="63CEB41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пол. лежа</w:t>
            </w:r>
          </w:p>
        </w:tc>
        <w:tc>
          <w:tcPr>
            <w:tcW w:w="1502" w:type="dxa"/>
          </w:tcPr>
          <w:p w14:paraId="0BDF923A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14:paraId="1AF97392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14:paraId="6ED359D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14:paraId="3D2B6B78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14:paraId="45C6C1EB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14:paraId="25619F59" w14:textId="77777777"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14:paraId="2D2ADE58" w14:textId="77777777"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 xml:space="preserve">». Минимальное количество </w:t>
      </w:r>
      <w:r w:rsidRPr="004204DD">
        <w:rPr>
          <w:bCs/>
          <w:color w:val="000000"/>
          <w:sz w:val="22"/>
          <w:lang w:eastAsia="ru-RU"/>
        </w:rPr>
        <w:lastRenderedPageBreak/>
        <w:t>баллов для получения зачета по практическим нормативам:</w:t>
      </w:r>
    </w:p>
    <w:p w14:paraId="60A0949B" w14:textId="77777777"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95133" w:rsidRPr="004204DD" w14:paraId="2E634318" w14:textId="77777777" w:rsidTr="00056C85">
        <w:tc>
          <w:tcPr>
            <w:tcW w:w="9747" w:type="dxa"/>
            <w:gridSpan w:val="2"/>
          </w:tcPr>
          <w:p w14:paraId="0B71F8D2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14:paraId="37EBDC9B" w14:textId="77777777" w:rsidTr="00056C85">
        <w:tc>
          <w:tcPr>
            <w:tcW w:w="4873" w:type="dxa"/>
          </w:tcPr>
          <w:p w14:paraId="3111A90A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14:paraId="0D8EBCC0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14:paraId="6BAD2512" w14:textId="77777777" w:rsidTr="00056C85">
        <w:tc>
          <w:tcPr>
            <w:tcW w:w="4873" w:type="dxa"/>
          </w:tcPr>
          <w:p w14:paraId="6E7AEB64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14:paraId="7CA5474C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14:paraId="6C74041F" w14:textId="77777777"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14:paraId="39CEF859" w14:textId="77777777"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14:paraId="541A3523" w14:textId="77777777"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14:paraId="0C757282" w14:textId="77777777"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8126"/>
      </w:tblGrid>
      <w:tr w:rsidR="00195133" w:rsidRPr="004204DD" w14:paraId="04BD3EE6" w14:textId="77777777" w:rsidTr="00056C85">
        <w:trPr>
          <w:tblHeader/>
        </w:trPr>
        <w:tc>
          <w:tcPr>
            <w:tcW w:w="1570" w:type="dxa"/>
            <w:shd w:val="clear" w:color="auto" w:fill="FFFFFF"/>
          </w:tcPr>
          <w:p w14:paraId="10B6A332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14:paraId="499F70F5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14:paraId="3E9A2752" w14:textId="77777777" w:rsidTr="00056C85">
        <w:tc>
          <w:tcPr>
            <w:tcW w:w="1570" w:type="dxa"/>
            <w:shd w:val="clear" w:color="auto" w:fill="FFFFFF"/>
          </w:tcPr>
          <w:p w14:paraId="6B22B380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14:paraId="2D4D2D50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14:paraId="04D01AA0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14:paraId="2AE88E32" w14:textId="77777777" w:rsidTr="00056C85">
        <w:tc>
          <w:tcPr>
            <w:tcW w:w="1570" w:type="dxa"/>
            <w:shd w:val="clear" w:color="auto" w:fill="FFFFFF"/>
          </w:tcPr>
          <w:p w14:paraId="3AE33B4C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14:paraId="3A66A987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14:paraId="0F826E7F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14:paraId="19D5B86F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14:paraId="371139F0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14:paraId="36A3DE1F" w14:textId="77777777"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14:paraId="478D0974" w14:textId="77777777"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14:paraId="08B077D8" w14:textId="77777777"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14:paraId="74F23EA1" w14:textId="77777777" w:rsidR="00195133" w:rsidRPr="004204DD" w:rsidRDefault="00195133" w:rsidP="00195133">
      <w:pPr>
        <w:pStyle w:val="Style23"/>
        <w:rPr>
          <w:rStyle w:val="FontStyle134"/>
          <w:b w:val="0"/>
        </w:rPr>
      </w:pPr>
    </w:p>
    <w:p w14:paraId="0C59AA4A" w14:textId="77777777"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14:paraId="66E69FD6" w14:textId="77777777"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7553"/>
      </w:tblGrid>
      <w:tr w:rsidR="00195133" w:rsidRPr="004204DD" w14:paraId="79E0A5BE" w14:textId="77777777" w:rsidTr="00056C85">
        <w:tc>
          <w:tcPr>
            <w:tcW w:w="1809" w:type="dxa"/>
            <w:shd w:val="clear" w:color="auto" w:fill="auto"/>
            <w:vAlign w:val="center"/>
          </w:tcPr>
          <w:p w14:paraId="388ED578" w14:textId="77777777"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AA038AE" w14:textId="77777777"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14:paraId="4FAB4E1E" w14:textId="77777777"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14:paraId="161B74B4" w14:textId="77777777" w:rsidTr="00056C85">
        <w:tc>
          <w:tcPr>
            <w:tcW w:w="1809" w:type="dxa"/>
            <w:shd w:val="clear" w:color="auto" w:fill="auto"/>
          </w:tcPr>
          <w:p w14:paraId="3A4369DA" w14:textId="77777777"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4740A58A" w14:textId="77777777"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14:paraId="3658E180" w14:textId="77777777"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14:paraId="0ACFC99D" w14:textId="77777777"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14:paraId="607644E7" w14:textId="77777777"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14:paraId="343E4CF4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14:paraId="551AE9DB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14:paraId="048A5FC3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14:paraId="4B887037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14:paraId="4C45C68C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14:paraId="2BDEB729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14:paraId="1A25729E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14:paraId="29AADF42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14:paraId="1B43A1DF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14:paraId="0CA5B903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14:paraId="4CB76921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14:paraId="3348E3F1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14:paraId="0E5D5CEF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14:paraId="2EC30222" w14:textId="77777777"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14:paraId="0A35ACDE" w14:textId="77777777"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14:paraId="4835844F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14:paraId="4821A55D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lastRenderedPageBreak/>
        <w:t>Что является целью физического воспитания?</w:t>
      </w:r>
    </w:p>
    <w:p w14:paraId="4DD1B262" w14:textId="77777777"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14:paraId="00B52C07" w14:textId="77777777"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14:paraId="4166B487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14:paraId="1C286A6D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14:paraId="55878C32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14:paraId="4C1A47A2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14:paraId="273AFA27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14:paraId="1C9B7E04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14:paraId="143E1CBF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14:paraId="2DE19531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14:paraId="42254F6B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14:paraId="2C6494D0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методический принцип физического воспитания предполагает постепенное и постоянное повышение требований к занимающимся?</w:t>
      </w:r>
    </w:p>
    <w:p w14:paraId="29ADBA58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14:paraId="08D28017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14:paraId="0E8895BA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14:paraId="28E4A9DC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14:paraId="6755139E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14:paraId="45DE852A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14:paraId="04A78443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14:paraId="2989B650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14:paraId="2323E8D7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14:paraId="33A8486A" w14:textId="77777777"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14:paraId="59EEC8D9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14:paraId="389C0B78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14:paraId="5570BDE1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14:paraId="61313EEC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14:paraId="3947C9F0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14:paraId="121ACCBD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14:paraId="292D2C41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14:paraId="450778ED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14:paraId="4AB70898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14:paraId="6AD189A8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14:paraId="039AD517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14:paraId="65ED8BED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14:paraId="651DE241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14:paraId="467DCBAD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14:paraId="62FB938C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14:paraId="68584AAF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14:paraId="1E35F9D6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14:paraId="17BE4D8D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14:paraId="7AB1E6A5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14:paraId="15EA52A3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14:paraId="5970F315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14:paraId="5D2A4B7D" w14:textId="77777777"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14:paraId="3A9ED29A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14:paraId="7A022FC4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14:paraId="40EF5988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Физкультурно-спортивные занятия для активного отдыха и повышения функциональных возможностей. </w:t>
      </w:r>
    </w:p>
    <w:p w14:paraId="394A7C77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14:paraId="7995B4B3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14:paraId="7F421E33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14:paraId="268D8F61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14:paraId="1FC231AA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14:paraId="77F80DC9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Внешняя среда и ее воздействие на организм и жизнедеятельность человека.</w:t>
      </w:r>
    </w:p>
    <w:p w14:paraId="0235DFB8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14:paraId="67D44785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14:paraId="55C8A391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14:paraId="0D37D1E3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14:paraId="317BADA2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14:paraId="70C0F438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спорт в свободное время.</w:t>
      </w:r>
    </w:p>
    <w:p w14:paraId="3565F66A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14:paraId="23AB13E8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14:paraId="7527651F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14:paraId="035F5F29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14:paraId="7CD255F9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14:paraId="2C39267F" w14:textId="77777777"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14:paraId="2786A57D" w14:textId="77777777"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14:paraId="73876D98" w14:textId="77777777"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14:paraId="2D846179" w14:textId="77777777"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14:paraId="4A9C1F2C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14:paraId="6264A802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14:paraId="4A8E4A70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14:paraId="4FCA923D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14:paraId="2959090D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14:paraId="57BCF7DC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14:paraId="077D9F59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14:paraId="7956C670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14:paraId="11079DDE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14:paraId="6C4005C4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14:paraId="6F2A3247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14:paraId="40D7B438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14:paraId="2E29ADDF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14:paraId="10002293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14:paraId="703B1DB8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14:paraId="26EFFE27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14:paraId="5FF5DDA1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14:paraId="764463EB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14:paraId="38BA26EE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14:paraId="58745C57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14:paraId="03075452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14:paraId="4B3A71AE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14:paraId="1C27FA48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14:paraId="44B94D02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14:paraId="13CC300E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14:paraId="1B5C32E6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14:paraId="3B1962AB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14:paraId="57EB0E0A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14:paraId="6F868041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14:paraId="15F329AA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Авиценна (Абу Али Ибн Сина /980 - 1037/) о физическом воспитании. </w:t>
      </w:r>
    </w:p>
    <w:p w14:paraId="2C920F8A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14:paraId="7A6ADE1F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14:paraId="70D845EB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14:paraId="33FF2F8C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14:paraId="5FCFEC58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14:paraId="46AAC7AE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14:paraId="20BB44A4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14:paraId="4B4506AB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14:paraId="321DA5B7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14:paraId="366B1DEB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14:paraId="4667A24D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14:paraId="10CA4D53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14:paraId="3C052B77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14:paraId="2D61448E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14:paraId="078FCAA4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14:paraId="325D9AE5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14:paraId="4C0C0833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14:paraId="04A37189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14:paraId="0D47428E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14:paraId="01D0F464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14:paraId="483C59A6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14:paraId="4E480D6C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14:paraId="3D37CA17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14:paraId="2050B6BD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14:paraId="537F3718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14:paraId="527163AB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14:paraId="630969B1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14:paraId="7B288B95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14:paraId="5D7FBCA0" w14:textId="77777777" w:rsidR="00160D7D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76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744889">
    <w:abstractNumId w:val="0"/>
  </w:num>
  <w:num w:numId="2" w16cid:durableId="739791509">
    <w:abstractNumId w:val="1"/>
  </w:num>
  <w:num w:numId="3" w16cid:durableId="1627081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8C"/>
    <w:rsid w:val="00031F8C"/>
    <w:rsid w:val="000B2EED"/>
    <w:rsid w:val="00160D7D"/>
    <w:rsid w:val="00195133"/>
    <w:rsid w:val="001C5CA8"/>
    <w:rsid w:val="00AB4F9D"/>
    <w:rsid w:val="00B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E6BD"/>
  <w15:docId w15:val="{DFF37747-54B3-4029-B575-DD3810E0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2497</Words>
  <Characters>14235</Characters>
  <Application>Microsoft Office Word</Application>
  <DocSecurity>0</DocSecurity>
  <Lines>118</Lines>
  <Paragraphs>33</Paragraphs>
  <ScaleCrop>false</ScaleCrop>
  <Company/>
  <LinksUpToDate>false</LinksUpToDate>
  <CharactersWithSpaces>16699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Ирина Панина</cp:lastModifiedBy>
  <cp:revision>2</cp:revision>
  <dcterms:created xsi:type="dcterms:W3CDTF">2023-09-25T09:24:00Z</dcterms:created>
  <dcterms:modified xsi:type="dcterms:W3CDTF">2023-09-25T09:24:00Z</dcterms:modified>
</cp:coreProperties>
</file>