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ФЕДЕРАЛЬНОЕ ГОСУДАРСТВЕННОЕ БЮДЖЕТНОЕ ОБРАЗОВАТЕЛЬНОЕ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УЧРЕЖДЕНИЕ ВЫСШЕГО ОБРАЗОВАНИЯ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«РЯЗАНСКИЙ ГОСУДАРСТВЕННЫЙ РАДИОТЕХНИЧЕСКИЙ УНИВЕРСИТЕТ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ИМЕНИ В.Ф. УТКИНА»</w:t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Кафедра «Экономическая безопасность, анализ и учет»</w:t>
      </w:r>
    </w:p>
    <w:p>
      <w:pPr>
        <w:pStyle w:val="Normal"/>
        <w:shd w:val="clear" w:color="auto" w:fill="FFFFFF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ОЦЕНОЧНЫЕ МАТЕРИАЛЫ ПО ДИСЦИПЛИНЕ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20"/>
        </w:numPr>
        <w:suppressAutoHyphens w:val="true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Б1.О.37 «Система экономической безопасности организации»</w:t>
      </w:r>
    </w:p>
    <w:p>
      <w:pPr>
        <w:pStyle w:val="21"/>
        <w:spacing w:before="0" w:after="0"/>
        <w:jc w:val="center"/>
        <w:rPr/>
      </w:pPr>
      <w:r>
        <w:rPr/>
      </w:r>
    </w:p>
    <w:p>
      <w:pPr>
        <w:pStyle w:val="21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Специальность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38.05.01 Экономическая безопасность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Специализация </w:t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Экономическая безопасность хозяйствующих субъектов</w:t>
      </w:r>
    </w:p>
    <w:p>
      <w:pPr>
        <w:pStyle w:val="Normal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подготовки</w:t>
      </w:r>
    </w:p>
    <w:p>
      <w:pPr>
        <w:pStyle w:val="Normal"/>
        <w:ind w:left="5" w:hanging="0"/>
        <w:jc w:val="center"/>
        <w:rPr>
          <w:b/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специалитет</w:t>
      </w:r>
    </w:p>
    <w:p>
      <w:pPr>
        <w:pStyle w:val="Normal"/>
        <w:ind w:left="5" w:hanging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Normal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5" w:hanging="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Квалификация выпускника – </w:t>
      </w:r>
      <w:r>
        <w:rPr>
          <w:color w:val="000000"/>
          <w:sz w:val="28"/>
          <w:szCs w:val="28"/>
          <w:u w:val="single"/>
        </w:rPr>
        <w:t>экономист</w:t>
      </w:r>
    </w:p>
    <w:p>
      <w:pPr>
        <w:pStyle w:val="Normal"/>
        <w:ind w:left="2165" w:firstLine="715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21"/>
        <w:widowControl w:val="false"/>
        <w:suppressAutoHyphens w:val="false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  <w:t>Форма обучения – очная</w:t>
      </w:r>
    </w:p>
    <w:p>
      <w:pPr>
        <w:pStyle w:val="21"/>
        <w:widowControl w:val="false"/>
        <w:suppressAutoHyphens w:val="false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21"/>
        <w:widowControl w:val="false"/>
        <w:suppressAutoHyphens w:val="false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21"/>
        <w:widowControl w:val="false"/>
        <w:suppressAutoHyphens w:val="false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21"/>
        <w:widowControl w:val="false"/>
        <w:suppressAutoHyphens w:val="false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21"/>
        <w:widowControl w:val="false"/>
        <w:suppressAutoHyphens w:val="false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</w:r>
    </w:p>
    <w:p>
      <w:pPr>
        <w:pStyle w:val="21"/>
        <w:widowControl w:val="false"/>
        <w:suppressAutoHyphens w:val="false"/>
        <w:jc w:val="center"/>
        <w:rPr>
          <w:b w:val="false"/>
          <w:b w:val="false"/>
          <w:szCs w:val="28"/>
        </w:rPr>
      </w:pPr>
      <w:r>
        <w:rPr>
          <w:b w:val="false"/>
          <w:szCs w:val="28"/>
        </w:rPr>
        <w:t>Рязань 2021</w:t>
      </w:r>
      <w:r>
        <w:br w:type="page"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FR2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Default"/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Целью изучения дисциплины является </w:t>
      </w:r>
      <w:r>
        <w:rPr>
          <w:sz w:val="22"/>
          <w:szCs w:val="22"/>
        </w:rPr>
        <w:t xml:space="preserve">овладение студентами знаниями в области теории и методологии экономической безопасности хозяйствующих субъектов, необходимых специалисту в сфере обеспечения экономической безопасности организации.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Промежуточная аттестация проводится в форме зачета. Форма проведения зачета – тестирование, выполнение практического задания.</w:t>
      </w:r>
    </w:p>
    <w:p>
      <w:pPr>
        <w:pStyle w:val="Default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Цель дисциплины: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является </w:t>
      </w:r>
      <w:r>
        <w:rPr>
          <w:sz w:val="22"/>
          <w:szCs w:val="22"/>
        </w:rPr>
        <w:t xml:space="preserve">овладение студентами знаниями в области теории и методологии экономической безопасности хозяйствующих субъектов, необходимых специалисту в сфере обеспечения экономической безопасности </w:t>
      </w:r>
      <w:r>
        <w:rPr/>
        <w:t>организации.</w:t>
      </w:r>
      <w:r>
        <w:rPr>
          <w:sz w:val="22"/>
          <w:szCs w:val="22"/>
        </w:rPr>
        <w:t xml:space="preserve"> </w:t>
      </w:r>
    </w:p>
    <w:p>
      <w:pPr>
        <w:pStyle w:val="Normal"/>
        <w:widowControl/>
        <w:numPr>
          <w:ilvl w:val="1"/>
          <w:numId w:val="21"/>
        </w:numPr>
        <w:ind w:left="0" w:firstLine="709"/>
        <w:jc w:val="both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Задачи дисциплины:</w:t>
      </w:r>
      <w:r>
        <w:rPr>
          <w:rFonts w:eastAsia="Calibri"/>
          <w:sz w:val="22"/>
          <w:szCs w:val="22"/>
          <w:lang w:eastAsia="ar-SA"/>
        </w:rPr>
        <w:t xml:space="preserve"> </w:t>
      </w:r>
    </w:p>
    <w:p>
      <w:pPr>
        <w:pStyle w:val="Normal"/>
        <w:widowControl/>
        <w:numPr>
          <w:ilvl w:val="1"/>
          <w:numId w:val="21"/>
        </w:numPr>
        <w:ind w:left="0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Изучить теоретические и методологические основы обеспечения экономической безопасности субъектов экономической деятельности.</w:t>
      </w:r>
    </w:p>
    <w:p>
      <w:pPr>
        <w:pStyle w:val="Normal"/>
        <w:widowControl/>
        <w:numPr>
          <w:ilvl w:val="1"/>
          <w:numId w:val="21"/>
        </w:numPr>
        <w:ind w:left="0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Показать специфику элементов составляющих экономическую безопасность хозяйствующих субъектов организации. </w:t>
      </w:r>
    </w:p>
    <w:p>
      <w:pPr>
        <w:pStyle w:val="Normal"/>
        <w:widowControl/>
        <w:numPr>
          <w:ilvl w:val="1"/>
          <w:numId w:val="21"/>
        </w:numPr>
        <w:ind w:left="0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Дать всестороннее представление о важнейших индикаторах экономической безопасности организации, их специфике в системе хозяйственной деятельности.</w:t>
      </w:r>
    </w:p>
    <w:p>
      <w:pPr>
        <w:pStyle w:val="Normal"/>
        <w:widowControl/>
        <w:numPr>
          <w:ilvl w:val="1"/>
          <w:numId w:val="21"/>
        </w:numPr>
        <w:ind w:left="0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Способствовать приобретению необходимых практических знаний и навыков прогнозирования возможных угроз, вызов экономической безопасности организации.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2. ПАСПОРТ ОЦЕНОЧНЫХ МАТЕРИАЛОВ ПО ДИСЦИПЛИНЕ (МОДУЛЮ)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9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4251"/>
        <w:gridCol w:w="2268"/>
        <w:gridCol w:w="3120"/>
      </w:tblGrid>
      <w:tr>
        <w:trPr>
          <w:tblHeader w:val="true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jc w:val="center"/>
              <w:rPr>
                <w:rStyle w:val="11"/>
                <w:b/>
                <w:b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7"/>
              <w:widowControl w:val="false"/>
              <w:spacing w:before="0" w:after="12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jc w:val="center"/>
              <w:rPr>
                <w:b/>
                <w:b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Код контролируемой компетенции</w:t>
            </w:r>
          </w:p>
          <w:p>
            <w:pPr>
              <w:pStyle w:val="Style17"/>
              <w:widowControl w:val="false"/>
              <w:spacing w:before="0" w:after="120"/>
              <w:jc w:val="center"/>
              <w:rPr>
                <w:b/>
                <w:b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eastAsia="Calibri"/>
                <w:b/>
              </w:rPr>
              <w:t>оценочного мероприятия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  <w:sz w:val="22"/>
                <w:szCs w:val="22"/>
              </w:rPr>
              <w:t>Тема 1. Классификация основных вызовов и угроз экономической безопасности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ОПК-2.6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spacing w:val="-4"/>
                <w:sz w:val="22"/>
                <w:szCs w:val="22"/>
              </w:rPr>
              <w:t>Тема 2. Оценка экономической безопасности организации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ОПК-2.6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  <w:sz w:val="22"/>
                <w:szCs w:val="22"/>
              </w:rPr>
              <w:t>Тема 3. Анализ и оценка кадровой составляющей экономической безопасности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ОПК-2.6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  <w:sz w:val="22"/>
                <w:szCs w:val="22"/>
              </w:rPr>
              <w:t>Тема 4. Анализ и оценка финансовой безопасности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ОПК-2.6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Тема 5. Анализ и оценка производственно-технической составляющей экономической безопасности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ОПК-2.6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Тема 6. Анализ и оценка информационной составляющей экономической безопасности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ОПК-2.6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Тема 7. Налоговая безопасность как составляющая экономической безопасности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ОПК-2.6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Тема 8. Организация системы контроля и мониторинга обеспечения экономической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ОПК-2.6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  <w:sz w:val="22"/>
                <w:szCs w:val="22"/>
              </w:rPr>
              <w:t>Тема 9. Преступления экономической направленности в системе экономической безопасности хозяйствующих субъектов. Способы и меры противодействия им.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ОПК-2.6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spacing w:lineRule="auto" w:line="240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а) описание критериев и шкалы оценивания тестирования: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 зачет и экзамен выносится 15 тестовых вопросов. Максимально обучающийся может набрать 75 баллов.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042"/>
        <w:gridCol w:w="7591"/>
      </w:tblGrid>
      <w:tr>
        <w:trPr>
          <w:tblHeader w:val="true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Шкала оценивания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Критерий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5 баллов</w:t>
            </w:r>
          </w:p>
          <w:p>
            <w:pPr>
              <w:pStyle w:val="Style17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(эталонный уровень)</w:t>
            </w:r>
          </w:p>
          <w:p>
            <w:pPr>
              <w:pStyle w:val="Style17"/>
              <w:widowControl w:val="false"/>
              <w:spacing w:before="0" w:after="12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Cs/>
                <w:iCs/>
                <w:shd w:fill="FFFFFF" w:val="clear"/>
              </w:rPr>
              <w:t>ответ на тестовый вопрос полностью правильный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4 балла</w:t>
            </w:r>
          </w:p>
          <w:p>
            <w:pPr>
              <w:pStyle w:val="Style17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(продвинутый уровень)</w:t>
            </w:r>
          </w:p>
          <w:p>
            <w:pPr>
              <w:pStyle w:val="Style17"/>
              <w:widowControl w:val="false"/>
              <w:spacing w:before="0" w:after="12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/>
              <w:t>ответ на тестовый вопрос частично правильный (выбрано более одного правильного варианта ответа из нескольких правильных вариантов)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3 балла</w:t>
            </w:r>
          </w:p>
          <w:p>
            <w:pPr>
              <w:pStyle w:val="Style17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(пороговый уровень)</w:t>
            </w:r>
          </w:p>
          <w:p>
            <w:pPr>
              <w:pStyle w:val="Style17"/>
              <w:widowControl w:val="false"/>
              <w:spacing w:before="0" w:after="12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</w:rPr>
            </w:pPr>
            <w:r>
              <w:rPr/>
              <w:t>ответ на тестовый вопрос частично правильный (выбран только один правильный вариант ответа из нескольких правильных вариантов)</w:t>
            </w:r>
          </w:p>
        </w:tc>
      </w:tr>
      <w:tr>
        <w:trPr/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jc w:val="center"/>
              <w:rPr>
                <w:i/>
                <w:i/>
              </w:rPr>
            </w:pPr>
            <w:r>
              <w:rPr>
                <w:i/>
              </w:rPr>
              <w:t>0 баллов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ответ на тестовый вопрос полностью не правильный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б) описание критериев и шкалы оценивания практического задания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 зачет выносится одно практическое задание. Максимально обучающийся может набрать 25 баллов.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466"/>
        <w:gridCol w:w="7229"/>
      </w:tblGrid>
      <w:tr>
        <w:trPr>
          <w:tblHeader w:val="true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Шкала оценивания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Критерий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25 баллов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практическое задание выполнено правильно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20 баллов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(продвинутый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10 баллов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</w:rPr>
            </w:pPr>
            <w:r>
              <w:rPr>
                <w:rFonts w:eastAsia="Calibri"/>
                <w:iCs/>
              </w:rPr>
              <w:t>(</w:t>
            </w:r>
            <w:r>
              <w:rPr/>
              <w:t>пороговый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>
        <w:trPr/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0 баллов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практическое задание не выполнено или выполнено неправильно</w:t>
            </w:r>
          </w:p>
        </w:tc>
      </w:tr>
    </w:tbl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Итоговый суммарный балл обучающегося,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980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040"/>
        <w:gridCol w:w="7939"/>
      </w:tblGrid>
      <w:tr>
        <w:trPr>
          <w:tblHeader w:val="true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Шкала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оценивания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</w:rPr>
            </w:pPr>
            <w:r>
              <w:rPr>
                <w:rFonts w:eastAsia="Calibri"/>
                <w:b/>
              </w:rPr>
              <w:t>Итоговый суммарный балл</w:t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Зачтено</w:t>
            </w:r>
          </w:p>
          <w:p>
            <w:pPr>
              <w:pStyle w:val="Style17"/>
              <w:widowControl w:val="false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 – 100 баллов (эталонный уровень)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Зачтено</w:t>
            </w:r>
          </w:p>
          <w:p>
            <w:pPr>
              <w:pStyle w:val="Style17"/>
              <w:widowControl w:val="false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89 – 70 баллов (продвинутый уровень)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jc w:val="center"/>
              <w:rPr>
                <w:i/>
                <w:i/>
              </w:rPr>
            </w:pPr>
            <w:r>
              <w:rPr>
                <w:i/>
              </w:rPr>
              <w:t>Зачтено</w:t>
            </w:r>
          </w:p>
          <w:p>
            <w:pPr>
              <w:pStyle w:val="Style17"/>
              <w:widowControl w:val="false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69 – 50 баллов (пороговый уровень)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20"/>
              <w:jc w:val="center"/>
              <w:rPr>
                <w:i/>
                <w:i/>
              </w:rPr>
            </w:pPr>
            <w:r>
              <w:rPr>
                <w:i/>
              </w:rPr>
              <w:t>Не зачтено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 баллов и ниже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FR2"/>
        <w:spacing w:lineRule="auto" w:line="240"/>
        <w:ind w:firstLine="709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ind w:firstLine="708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96" w:type="dxa"/>
        <w:jc w:val="left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56"/>
        <w:gridCol w:w="7939"/>
      </w:tblGrid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3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  <w:i w:val="false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  <w:i w:val="false"/>
              </w:rPr>
              <w:t>Содержание компетенций</w:t>
            </w:r>
          </w:p>
        </w:tc>
      </w:tr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97"/>
              <w:widowControl w:val="false"/>
              <w:spacing w:lineRule="auto" w:line="240"/>
              <w:jc w:val="center"/>
              <w:rPr>
                <w:rStyle w:val="FontStyle138"/>
                <w:i w:val="false"/>
                <w:i w:val="false"/>
              </w:rPr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ОПК-2.6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  <w:lang w:eastAsia="ar-SA"/>
              </w:rPr>
              <w:t>Анализирует эффективность основных компонентов действующей системы обеспечения экономической безопасности организации</w:t>
            </w:r>
          </w:p>
        </w:tc>
      </w:tr>
    </w:tbl>
    <w:p>
      <w:pPr>
        <w:pStyle w:val="FR2"/>
        <w:spacing w:lineRule="auto" w:line="24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  <w:t>а) типовые тестовые вопросы: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Требуется выбрать правильные варианты ответов. </w:t>
      </w:r>
    </w:p>
    <w:p>
      <w:pPr>
        <w:pStyle w:val="Normal"/>
        <w:jc w:val="both"/>
        <w:rPr/>
      </w:pPr>
      <w:r>
        <w:rPr/>
        <w:t>1. Фундаментальной основой экономической безопасности предприятия является:</w:t>
      </w:r>
    </w:p>
    <w:p>
      <w:pPr>
        <w:pStyle w:val="Normal"/>
        <w:widowControl/>
        <w:numPr>
          <w:ilvl w:val="0"/>
          <w:numId w:val="3"/>
        </w:numPr>
        <w:jc w:val="both"/>
        <w:rPr>
          <w:iCs/>
        </w:rPr>
      </w:pPr>
      <w:r>
        <w:rPr>
          <w:iCs/>
        </w:rPr>
        <w:t>устойчивость предприятия в долгосрочном развитии;</w:t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/>
        <w:t>прибыльность работы предприятия;</w:t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/>
        <w:t>диверсификация деятельности;</w:t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/>
        <w:t>все ответы верны.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 Ускоренная амортизация - это налоговая льгота, которую получают предприятия инвестировавшие свои средства в:</w:t>
      </w:r>
    </w:p>
    <w:p>
      <w:pPr>
        <w:pStyle w:val="Normal"/>
        <w:widowControl/>
        <w:numPr>
          <w:ilvl w:val="0"/>
          <w:numId w:val="4"/>
        </w:numPr>
        <w:jc w:val="both"/>
        <w:rPr/>
      </w:pPr>
      <w:r>
        <w:rPr/>
        <w:t>оборотный капитал;</w:t>
      </w:r>
    </w:p>
    <w:p>
      <w:pPr>
        <w:pStyle w:val="Normal"/>
        <w:widowControl/>
        <w:numPr>
          <w:ilvl w:val="0"/>
          <w:numId w:val="4"/>
        </w:numPr>
        <w:jc w:val="both"/>
        <w:rPr/>
      </w:pPr>
      <w:r>
        <w:rPr/>
        <w:t>основной капитал;</w:t>
      </w:r>
    </w:p>
    <w:p>
      <w:pPr>
        <w:pStyle w:val="Normal"/>
        <w:widowControl/>
        <w:numPr>
          <w:ilvl w:val="0"/>
          <w:numId w:val="4"/>
        </w:numPr>
        <w:jc w:val="both"/>
        <w:rPr/>
      </w:pPr>
      <w:r>
        <w:rPr/>
        <w:t>запасы;</w:t>
      </w:r>
    </w:p>
    <w:p>
      <w:pPr>
        <w:pStyle w:val="Normal"/>
        <w:widowControl/>
        <w:numPr>
          <w:ilvl w:val="0"/>
          <w:numId w:val="4"/>
        </w:numPr>
        <w:jc w:val="both"/>
        <w:rPr/>
      </w:pPr>
      <w:r>
        <w:rPr/>
        <w:t>финансовые вложения.</w:t>
      </w:r>
    </w:p>
    <w:p>
      <w:pPr>
        <w:pStyle w:val="Normal"/>
        <w:widowControl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3. С позиции актива риск характеризует вероятность:</w:t>
      </w:r>
    </w:p>
    <w:p>
      <w:pPr>
        <w:pStyle w:val="Normal"/>
        <w:widowControl/>
        <w:numPr>
          <w:ilvl w:val="0"/>
          <w:numId w:val="5"/>
        </w:numPr>
        <w:jc w:val="both"/>
        <w:rPr/>
      </w:pPr>
      <w:r>
        <w:rPr/>
        <w:t>неполучения ожидаемого дохода;</w:t>
      </w:r>
    </w:p>
    <w:p>
      <w:pPr>
        <w:pStyle w:val="Normal"/>
        <w:widowControl/>
        <w:numPr>
          <w:ilvl w:val="0"/>
          <w:numId w:val="5"/>
        </w:numPr>
        <w:jc w:val="both"/>
        <w:rPr/>
      </w:pPr>
      <w:r>
        <w:rPr/>
        <w:t>потери инвестиционной привлекательности;</w:t>
      </w:r>
    </w:p>
    <w:p>
      <w:pPr>
        <w:pStyle w:val="Normal"/>
        <w:widowControl/>
        <w:numPr>
          <w:ilvl w:val="0"/>
          <w:numId w:val="5"/>
        </w:numPr>
        <w:jc w:val="both"/>
        <w:rPr/>
      </w:pPr>
      <w:r>
        <w:rPr/>
        <w:t>снижения конкурентоспособности на рынке;</w:t>
      </w:r>
    </w:p>
    <w:p>
      <w:pPr>
        <w:pStyle w:val="Normal"/>
        <w:widowControl/>
        <w:numPr>
          <w:ilvl w:val="0"/>
          <w:numId w:val="5"/>
        </w:numPr>
        <w:jc w:val="both"/>
        <w:rPr/>
      </w:pPr>
      <w:r>
        <w:rPr/>
        <w:t>физического и морального устаревания.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4. К направлениям работы служб безопасности предприятия относится: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/>
        <w:t>изучение криминальных аспектов рынка, состояния и влияния теневой экономики на рынок;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/>
        <w:t>сбор информации, заключившей с предприятием контракты;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/>
        <w:t>установление обстоятельств недобросовестной конкуренции со стороны других фирм;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/>
        <w:t>все ответы верны.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5. К основным внешним угрозам экономической безопасности предприятия относится:</w:t>
      </w:r>
    </w:p>
    <w:p>
      <w:pPr>
        <w:pStyle w:val="Normal"/>
        <w:widowControl/>
        <w:numPr>
          <w:ilvl w:val="0"/>
          <w:numId w:val="7"/>
        </w:numPr>
        <w:jc w:val="both"/>
        <w:rPr/>
      </w:pPr>
      <w:r>
        <w:rPr/>
        <w:t>политическая и экономическая нестабильность, деятельность организованных преступных групп;</w:t>
      </w:r>
    </w:p>
    <w:p>
      <w:pPr>
        <w:pStyle w:val="Normal"/>
        <w:widowControl/>
        <w:numPr>
          <w:ilvl w:val="0"/>
          <w:numId w:val="7"/>
        </w:numPr>
        <w:jc w:val="both"/>
        <w:rPr/>
      </w:pPr>
      <w:r>
        <w:rPr/>
        <w:t>утрата сотрудниками организации морально-этических и социальных ценностей и ориентиров;</w:t>
      </w:r>
    </w:p>
    <w:p>
      <w:pPr>
        <w:pStyle w:val="Normal"/>
        <w:widowControl/>
        <w:numPr>
          <w:ilvl w:val="0"/>
          <w:numId w:val="7"/>
        </w:numPr>
        <w:jc w:val="both"/>
        <w:rPr/>
      </w:pPr>
      <w:r>
        <w:rPr/>
        <w:t>нарушение режима сохранности (хищения, нанесение материального ущерба);</w:t>
      </w:r>
    </w:p>
    <w:p>
      <w:pPr>
        <w:pStyle w:val="Normal"/>
        <w:widowControl/>
        <w:numPr>
          <w:ilvl w:val="0"/>
          <w:numId w:val="7"/>
        </w:numPr>
        <w:jc w:val="both"/>
        <w:rPr/>
      </w:pPr>
      <w:r>
        <w:rPr/>
        <w:t>хищение имущества организации управленческим аппаратом и менеджерами компании.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6. Уровень достаточности капитала (показатель Базель) считается как отношение:</w:t>
      </w:r>
    </w:p>
    <w:p>
      <w:pPr>
        <w:pStyle w:val="Normal"/>
        <w:widowControl/>
        <w:numPr>
          <w:ilvl w:val="0"/>
          <w:numId w:val="8"/>
        </w:numPr>
        <w:jc w:val="both"/>
        <w:rPr/>
      </w:pPr>
      <w:r>
        <w:rPr/>
        <w:t>собственного капитала к валюте баланса;</w:t>
      </w:r>
    </w:p>
    <w:p>
      <w:pPr>
        <w:pStyle w:val="Normal"/>
        <w:widowControl/>
        <w:numPr>
          <w:ilvl w:val="0"/>
          <w:numId w:val="8"/>
        </w:numPr>
        <w:jc w:val="both"/>
        <w:rPr/>
      </w:pPr>
      <w:r>
        <w:rPr/>
        <w:t>собственного капитала к заемным средствам;</w:t>
      </w:r>
    </w:p>
    <w:p>
      <w:pPr>
        <w:pStyle w:val="Normal"/>
        <w:widowControl/>
        <w:numPr>
          <w:ilvl w:val="0"/>
          <w:numId w:val="8"/>
        </w:numPr>
        <w:jc w:val="both"/>
        <w:rPr/>
      </w:pPr>
      <w:r>
        <w:rPr/>
        <w:t>прибыли к совокупным затратам;</w:t>
      </w:r>
    </w:p>
    <w:p>
      <w:pPr>
        <w:pStyle w:val="Normal"/>
        <w:widowControl/>
        <w:numPr>
          <w:ilvl w:val="0"/>
          <w:numId w:val="8"/>
        </w:numPr>
        <w:jc w:val="both"/>
        <w:rPr/>
      </w:pPr>
      <w:r>
        <w:rPr/>
        <w:t>выручки к совокупным затратам.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/>
        <w:t xml:space="preserve">7. </w:t>
      </w:r>
      <w:r>
        <w:rPr>
          <w:color w:val="000000"/>
        </w:rPr>
        <w:t>К факторам, создающим угрозы экономической безопасности предприятий, можно отнести:</w:t>
      </w:r>
    </w:p>
    <w:p>
      <w:pPr>
        <w:pStyle w:val="Normal"/>
        <w:widowControl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снижение уровня выполнения норм законодательных актов, ослабление государственного управления и контроля;</w:t>
      </w:r>
    </w:p>
    <w:p>
      <w:pPr>
        <w:pStyle w:val="Normal"/>
        <w:widowControl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рост масштабов и видов коррупции в экономических и финансовых сферах, распространение организованной преступности;</w:t>
      </w:r>
    </w:p>
    <w:p>
      <w:pPr>
        <w:pStyle w:val="Normal"/>
        <w:widowControl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расширение неравенства в региональном развитии, ведущее к экономическому дисбалансу;</w:t>
      </w:r>
    </w:p>
    <w:p>
      <w:pPr>
        <w:pStyle w:val="Normal"/>
        <w:widowControl/>
        <w:numPr>
          <w:ilvl w:val="0"/>
          <w:numId w:val="9"/>
        </w:numPr>
        <w:jc w:val="both"/>
        <w:rPr/>
      </w:pPr>
      <w:r>
        <w:rPr/>
        <w:t>все вышеперечисленное.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Calibri"/>
        </w:rPr>
      </w:pPr>
      <w:r>
        <w:rPr/>
        <w:t xml:space="preserve">8. Оценка экономической безопасности предприятий в упрощенном виде может основываться на методике оценки реальной стоимости имущества. При </w:t>
      </w:r>
      <w:r>
        <w:rPr>
          <w:rFonts w:eastAsia="Calibri"/>
        </w:rPr>
        <w:t>применение данной методики не рассчитываются следующие группы показателей:</w:t>
      </w:r>
    </w:p>
    <w:p>
      <w:pPr>
        <w:pStyle w:val="Normal"/>
        <w:widowControl/>
        <w:numPr>
          <w:ilvl w:val="0"/>
          <w:numId w:val="10"/>
        </w:numPr>
        <w:jc w:val="both"/>
        <w:rPr>
          <w:color w:val="000000"/>
        </w:rPr>
      </w:pPr>
      <w:r>
        <w:rPr>
          <w:rFonts w:eastAsia="Calibri"/>
        </w:rPr>
        <w:t>Коэффициенты ликвидности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0"/>
        </w:numPr>
        <w:jc w:val="both"/>
        <w:rPr>
          <w:color w:val="000000"/>
        </w:rPr>
      </w:pPr>
      <w:r>
        <w:rPr>
          <w:rFonts w:eastAsia="Calibri"/>
        </w:rPr>
        <w:t>Коэффициенты финансовой устойчивости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0"/>
        </w:numPr>
        <w:jc w:val="both"/>
        <w:rPr>
          <w:color w:val="000000"/>
        </w:rPr>
      </w:pPr>
      <w:r>
        <w:rPr>
          <w:rFonts w:eastAsia="Calibri"/>
        </w:rPr>
        <w:t>Коэффициенты рентабельности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0"/>
        </w:numPr>
        <w:jc w:val="both"/>
        <w:rPr/>
      </w:pPr>
      <w:r>
        <w:rPr>
          <w:rFonts w:eastAsia="Calibri"/>
        </w:rPr>
        <w:t>Коэффициенты движения рабочей силы</w:t>
      </w:r>
      <w:r>
        <w:rPr/>
        <w:t>.</w:t>
      </w:r>
    </w:p>
    <w:p>
      <w:pPr>
        <w:pStyle w:val="Normal"/>
        <w:ind w:left="720" w:hanging="0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both"/>
        <w:rPr/>
      </w:pPr>
      <w:r>
        <w:rPr/>
        <w:t>9. К индикаторам экономической безопасности предприятий не относятся:</w:t>
      </w:r>
    </w:p>
    <w:p>
      <w:pPr>
        <w:pStyle w:val="Normal"/>
        <w:widowControl/>
        <w:numPr>
          <w:ilvl w:val="0"/>
          <w:numId w:val="11"/>
        </w:numPr>
        <w:jc w:val="both"/>
        <w:rPr>
          <w:color w:val="000000"/>
        </w:rPr>
      </w:pPr>
      <w:r>
        <w:rPr>
          <w:rFonts w:eastAsia="Calibri"/>
        </w:rPr>
        <w:t>производственные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1"/>
        </w:numPr>
        <w:jc w:val="both"/>
        <w:rPr>
          <w:color w:val="000000"/>
        </w:rPr>
      </w:pPr>
      <w:r>
        <w:rPr>
          <w:rFonts w:eastAsia="Calibri"/>
        </w:rPr>
        <w:t>финансово-хозяйственные показатели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1"/>
        </w:numPr>
        <w:jc w:val="both"/>
        <w:rPr>
          <w:color w:val="000000"/>
        </w:rPr>
      </w:pPr>
      <w:r>
        <w:rPr>
          <w:rFonts w:eastAsia="Calibri"/>
        </w:rPr>
        <w:t>показатели социальной сферы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1"/>
        </w:numPr>
        <w:jc w:val="both"/>
        <w:rPr/>
      </w:pPr>
      <w:r>
        <w:rPr>
          <w:rFonts w:eastAsia="Calibri"/>
        </w:rPr>
        <w:t>показатели правового обеспечения</w:t>
      </w:r>
      <w:r>
        <w:rPr/>
        <w:t>.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both"/>
        <w:rPr/>
      </w:pPr>
      <w:r>
        <w:rPr>
          <w:rFonts w:eastAsia="Calibri"/>
        </w:rPr>
        <w:t>10. Расчет показателей экономической безопасности предприятий строится на основе методики анализа:</w:t>
      </w:r>
    </w:p>
    <w:p>
      <w:pPr>
        <w:pStyle w:val="Normal"/>
        <w:widowControl/>
        <w:numPr>
          <w:ilvl w:val="0"/>
          <w:numId w:val="12"/>
        </w:numPr>
        <w:jc w:val="both"/>
        <w:rPr>
          <w:color w:val="000000"/>
        </w:rPr>
      </w:pPr>
      <w:r>
        <w:rPr>
          <w:rFonts w:eastAsia="Calibri"/>
        </w:rPr>
        <w:t>диагностики банкротства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2"/>
        </w:numPr>
        <w:jc w:val="both"/>
        <w:rPr>
          <w:color w:val="000000"/>
        </w:rPr>
      </w:pPr>
      <w:r>
        <w:rPr>
          <w:rFonts w:eastAsia="Calibri"/>
        </w:rPr>
        <w:t>финансовых результатов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2"/>
        </w:numPr>
        <w:jc w:val="both"/>
        <w:rPr>
          <w:color w:val="000000"/>
        </w:rPr>
      </w:pPr>
      <w:r>
        <w:rPr>
          <w:rFonts w:eastAsia="Calibri"/>
        </w:rPr>
        <w:t>эффективности использования трудовых ресурсов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2"/>
        </w:numPr>
        <w:jc w:val="both"/>
        <w:rPr/>
      </w:pPr>
      <w:r>
        <w:rPr>
          <w:rFonts w:eastAsia="Calibri"/>
        </w:rPr>
        <w:t>эффективности использования основных фондов</w:t>
      </w:r>
      <w:r>
        <w:rPr/>
        <w:t>.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color w:val="000000"/>
        </w:rPr>
      </w:pPr>
      <w:r>
        <w:rPr/>
        <w:t>11.</w:t>
      </w:r>
      <w:r>
        <w:rPr>
          <w:color w:val="000000"/>
        </w:rPr>
        <w:t xml:space="preserve"> Наиболее распространенными видами хищения государственных средств являются:</w:t>
      </w:r>
    </w:p>
    <w:p>
      <w:pPr>
        <w:pStyle w:val="Normal"/>
        <w:widowControl/>
        <w:numPr>
          <w:ilvl w:val="0"/>
          <w:numId w:val="13"/>
        </w:numPr>
        <w:jc w:val="both"/>
        <w:rPr>
          <w:color w:val="000000"/>
        </w:rPr>
      </w:pPr>
      <w:r>
        <w:rPr>
          <w:bCs/>
          <w:color w:val="000000"/>
        </w:rPr>
        <w:t>Хищение бюджетных средств, выделенных из бюджета в виде субсидий на целевые мероприятия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3"/>
        </w:numPr>
        <w:jc w:val="both"/>
        <w:rPr>
          <w:color w:val="000000"/>
        </w:rPr>
      </w:pPr>
      <w:r>
        <w:rPr>
          <w:bCs/>
          <w:color w:val="000000"/>
        </w:rPr>
        <w:t>Способ хищения бюджетных средств путем завышения цены товаров и услуг, используемых для государственных нужд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3"/>
        </w:numPr>
        <w:jc w:val="both"/>
        <w:rPr>
          <w:color w:val="000000"/>
        </w:rPr>
      </w:pPr>
      <w:r>
        <w:rPr>
          <w:bCs/>
          <w:color w:val="000000"/>
        </w:rPr>
        <w:t>Приобретение товарно-материальных ценностей для личного пользования руководителя государственной компании за счет средств компании</w:t>
      </w:r>
      <w:r>
        <w:rPr>
          <w:color w:val="000000"/>
        </w:rPr>
        <w:t>;</w:t>
      </w:r>
    </w:p>
    <w:p>
      <w:pPr>
        <w:pStyle w:val="Normal"/>
        <w:widowControl/>
        <w:numPr>
          <w:ilvl w:val="0"/>
          <w:numId w:val="13"/>
        </w:numPr>
        <w:jc w:val="both"/>
        <w:rPr>
          <w:color w:val="000000"/>
        </w:rPr>
      </w:pPr>
      <w:r>
        <w:rPr>
          <w:bCs/>
          <w:color w:val="000000"/>
        </w:rPr>
        <w:t>Личные поездки за счет средств государственной компании под видом служебных командировок</w:t>
      </w:r>
      <w:r>
        <w:rPr>
          <w:color w:val="000000"/>
        </w:rPr>
        <w:t>.</w:t>
      </w:r>
    </w:p>
    <w:p>
      <w:pPr>
        <w:pStyle w:val="Normal"/>
        <w:ind w:left="72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12. Функции МВД по обеспечению экономической безопасности:</w:t>
      </w:r>
    </w:p>
    <w:p>
      <w:pPr>
        <w:pStyle w:val="Normal"/>
        <w:widowControl/>
        <w:numPr>
          <w:ilvl w:val="0"/>
          <w:numId w:val="14"/>
        </w:numPr>
        <w:rPr>
          <w:color w:val="000000"/>
          <w:spacing w:val="-1"/>
        </w:rPr>
      </w:pPr>
      <w:r>
        <w:rPr>
          <w:color w:val="000000"/>
          <w:spacing w:val="-1"/>
        </w:rPr>
        <w:t>участие в разработке и реализации государственных программ обеспечения экономической безопасности РФ;</w:t>
      </w:r>
    </w:p>
    <w:p>
      <w:pPr>
        <w:pStyle w:val="Normal"/>
        <w:widowControl/>
        <w:numPr>
          <w:ilvl w:val="0"/>
          <w:numId w:val="14"/>
        </w:numPr>
        <w:rPr>
          <w:color w:val="000000"/>
          <w:spacing w:val="-1"/>
        </w:rPr>
      </w:pPr>
      <w:r>
        <w:rPr>
          <w:color w:val="000000"/>
          <w:spacing w:val="-2"/>
        </w:rPr>
        <w:t xml:space="preserve">осуществление в установленном порядке документального </w:t>
      </w:r>
      <w:r>
        <w:rPr>
          <w:color w:val="000000"/>
          <w:spacing w:val="1"/>
        </w:rPr>
        <w:t xml:space="preserve">оформления выявленных фактов сокрытия доходов от </w:t>
      </w:r>
      <w:r>
        <w:rPr>
          <w:color w:val="000000"/>
          <w:spacing w:val="-1"/>
        </w:rPr>
        <w:t>налогообложения, уклонение от уплаты налогов;</w:t>
      </w:r>
    </w:p>
    <w:p>
      <w:pPr>
        <w:pStyle w:val="Normal"/>
        <w:widowControl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осуществление сотрудничества с международными организациями;</w:t>
      </w:r>
    </w:p>
    <w:p>
      <w:pPr>
        <w:pStyle w:val="Normal"/>
        <w:widowControl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все ответы верны.</w:t>
      </w:r>
    </w:p>
    <w:p>
      <w:pPr>
        <w:pStyle w:val="Normal"/>
        <w:widowControl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9180" w:leader="none"/>
        </w:tabs>
        <w:jc w:val="both"/>
        <w:rPr>
          <w:bCs/>
        </w:rPr>
      </w:pPr>
      <w:r>
        <w:rPr>
          <w:bCs/>
        </w:rPr>
        <w:t>13. На современном этапе эволюции преступности в кредитно-финансовой системе России наиболее типичны:</w:t>
      </w:r>
    </w:p>
    <w:p>
      <w:pPr>
        <w:pStyle w:val="Normal"/>
        <w:widowControl/>
        <w:numPr>
          <w:ilvl w:val="0"/>
          <w:numId w:val="15"/>
        </w:numPr>
        <w:jc w:val="both"/>
        <w:rPr/>
      </w:pPr>
      <w:r>
        <w:rPr/>
        <w:t>мошеннические операции финансовых компаний-пирамид;</w:t>
      </w:r>
    </w:p>
    <w:p>
      <w:pPr>
        <w:pStyle w:val="Normal"/>
        <w:widowControl/>
        <w:numPr>
          <w:ilvl w:val="0"/>
          <w:numId w:val="15"/>
        </w:numPr>
        <w:jc w:val="both"/>
        <w:rPr/>
      </w:pPr>
      <w:r>
        <w:rPr/>
        <w:t>хищение кредитных ресурсов коммерческих банков;</w:t>
      </w:r>
    </w:p>
    <w:p>
      <w:pPr>
        <w:pStyle w:val="Normal"/>
        <w:widowControl/>
        <w:numPr>
          <w:ilvl w:val="0"/>
          <w:numId w:val="15"/>
        </w:numPr>
        <w:jc w:val="both"/>
        <w:rPr/>
      </w:pPr>
      <w:r>
        <w:rPr/>
        <w:t>хищение денежных средств с использованием электронных средств доступа;</w:t>
      </w:r>
    </w:p>
    <w:p>
      <w:pPr>
        <w:pStyle w:val="Normal"/>
        <w:widowControl/>
        <w:numPr>
          <w:ilvl w:val="0"/>
          <w:numId w:val="15"/>
        </w:numPr>
        <w:jc w:val="both"/>
        <w:rPr/>
      </w:pPr>
      <w:r>
        <w:rPr/>
        <w:t>все ответы верны.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9180" w:leader="none"/>
        </w:tabs>
        <w:jc w:val="both"/>
        <w:rPr/>
      </w:pPr>
      <w:r>
        <w:rPr/>
        <w:t>14. К важнейшим экономическим причинам налоговой преступности относятся:</w:t>
      </w:r>
    </w:p>
    <w:p>
      <w:pPr>
        <w:pStyle w:val="Normal"/>
        <w:widowControl/>
        <w:numPr>
          <w:ilvl w:val="0"/>
          <w:numId w:val="16"/>
        </w:numPr>
        <w:jc w:val="both"/>
        <w:rPr/>
      </w:pPr>
      <w:r>
        <w:rPr/>
        <w:t>ухудшение материального положения бизнеса и населения;</w:t>
      </w:r>
    </w:p>
    <w:p>
      <w:pPr>
        <w:pStyle w:val="Normal"/>
        <w:widowControl/>
        <w:numPr>
          <w:ilvl w:val="0"/>
          <w:numId w:val="16"/>
        </w:numPr>
        <w:jc w:val="both"/>
        <w:rPr/>
      </w:pPr>
      <w:r>
        <w:rPr/>
        <w:t>высокий уровень налоговой нагрузки;</w:t>
      </w:r>
    </w:p>
    <w:p>
      <w:pPr>
        <w:pStyle w:val="Normal"/>
        <w:widowControl/>
        <w:numPr>
          <w:ilvl w:val="0"/>
          <w:numId w:val="16"/>
        </w:numPr>
        <w:jc w:val="both"/>
        <w:rPr/>
      </w:pPr>
      <w:r>
        <w:rPr/>
        <w:t>несовершенство и нестабильность налогового законодательства;</w:t>
      </w:r>
    </w:p>
    <w:p>
      <w:pPr>
        <w:pStyle w:val="Normal"/>
        <w:widowControl/>
        <w:numPr>
          <w:ilvl w:val="0"/>
          <w:numId w:val="16"/>
        </w:numPr>
        <w:jc w:val="both"/>
        <w:rPr/>
      </w:pPr>
      <w:r>
        <w:rPr/>
        <w:t>все вышеперечисленное.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15. Особенности и социальная опасность преступности в сфере экономики связаны с:</w:t>
      </w:r>
    </w:p>
    <w:p>
      <w:pPr>
        <w:pStyle w:val="Normal"/>
        <w:widowControl/>
        <w:numPr>
          <w:ilvl w:val="0"/>
          <w:numId w:val="17"/>
        </w:numPr>
        <w:rPr/>
      </w:pPr>
      <w:r>
        <w:rPr/>
        <w:t>высокой латентностью;</w:t>
      </w:r>
    </w:p>
    <w:p>
      <w:pPr>
        <w:pStyle w:val="Normal"/>
        <w:widowControl/>
        <w:numPr>
          <w:ilvl w:val="0"/>
          <w:numId w:val="17"/>
        </w:numPr>
        <w:rPr/>
      </w:pPr>
      <w:r>
        <w:rPr/>
        <w:t>большими размерами;</w:t>
      </w:r>
    </w:p>
    <w:p>
      <w:pPr>
        <w:pStyle w:val="Normal"/>
        <w:widowControl/>
        <w:numPr>
          <w:ilvl w:val="0"/>
          <w:numId w:val="17"/>
        </w:numPr>
        <w:rPr/>
      </w:pPr>
      <w:r>
        <w:rPr/>
        <w:t>выраженным организованным характером;</w:t>
      </w:r>
    </w:p>
    <w:p>
      <w:pPr>
        <w:pStyle w:val="Normal"/>
        <w:widowControl/>
        <w:numPr>
          <w:ilvl w:val="0"/>
          <w:numId w:val="17"/>
        </w:numPr>
        <w:rPr/>
      </w:pPr>
      <w:r>
        <w:rPr/>
        <w:t>все ответы верны.</w:t>
      </w:r>
    </w:p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  <w:t>б) типовые практические задания:</w:t>
      </w:r>
    </w:p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spacing w:lineRule="auto" w:line="288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b/>
        </w:rPr>
        <w:t xml:space="preserve">Задание 1. </w:t>
      </w:r>
      <w:r>
        <w:rPr/>
        <w:t>На основании исходных данных (таблица 1) провести индикативную оценку экономической безопасности организации. Результаты необходимо оформить в соответствии с таблицей 2 и сделать выводы.</w:t>
      </w:r>
    </w:p>
    <w:p>
      <w:pPr>
        <w:pStyle w:val="Normal"/>
        <w:spacing w:lineRule="auto" w:line="288"/>
        <w:ind w:firstLine="709"/>
        <w:jc w:val="both"/>
        <w:rPr>
          <w:i/>
          <w:i/>
        </w:rPr>
      </w:pPr>
      <w:r>
        <w:rPr>
          <w:i/>
        </w:rPr>
        <w:t>Исходные данные:</w:t>
      </w:r>
    </w:p>
    <w:p>
      <w:pPr>
        <w:pStyle w:val="Normal"/>
        <w:spacing w:lineRule="auto" w:line="288"/>
        <w:jc w:val="center"/>
        <w:rPr/>
      </w:pPr>
      <w:r>
        <w:rPr/>
        <w:t>Таблица 1 – Исходные данные</w:t>
      </w:r>
    </w:p>
    <w:tbl>
      <w:tblPr>
        <w:tblW w:w="1006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84"/>
        <w:gridCol w:w="1514"/>
        <w:gridCol w:w="2006"/>
        <w:gridCol w:w="1560"/>
      </w:tblGrid>
      <w:tr>
        <w:trPr>
          <w:trHeight w:val="262" w:hRule="atLeast"/>
        </w:trPr>
        <w:tc>
          <w:tcPr>
            <w:tcW w:w="4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Показатель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Значение</w:t>
            </w:r>
          </w:p>
        </w:tc>
      </w:tr>
      <w:tr>
        <w:trPr/>
        <w:tc>
          <w:tcPr>
            <w:tcW w:w="4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2018 г.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2019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2020 г.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  <w:t>1. Валовая продукция (по себестоимости), тыс. руб.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81040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77540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89210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  <w:t>2.Выручка от реализации, тыс. руб.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100985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97850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110060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3.Основные производственные фонды:</w:t>
            </w:r>
          </w:p>
          <w:p>
            <w:pPr>
              <w:pStyle w:val="Normal"/>
              <w:widowControl w:val="false"/>
              <w:ind w:firstLine="284"/>
              <w:rPr/>
            </w:pPr>
            <w:r>
              <w:rPr/>
              <w:t xml:space="preserve">– </w:t>
            </w:r>
            <w:r>
              <w:rPr/>
              <w:t>на начало года</w:t>
            </w:r>
          </w:p>
          <w:p>
            <w:pPr>
              <w:pStyle w:val="Normal"/>
              <w:widowControl w:val="false"/>
              <w:ind w:firstLine="284"/>
              <w:rPr/>
            </w:pPr>
            <w:r>
              <w:rPr/>
              <w:t xml:space="preserve">– </w:t>
            </w:r>
            <w:r>
              <w:rPr/>
              <w:t>поступило</w:t>
            </w:r>
          </w:p>
          <w:p>
            <w:pPr>
              <w:pStyle w:val="Normal"/>
              <w:widowControl w:val="false"/>
              <w:ind w:firstLine="284"/>
              <w:rPr/>
            </w:pPr>
            <w:r>
              <w:rPr/>
              <w:t xml:space="preserve">– </w:t>
            </w:r>
            <w:r>
              <w:rPr/>
              <w:t>выбыло</w:t>
            </w:r>
          </w:p>
          <w:p>
            <w:pPr>
              <w:pStyle w:val="Normal"/>
              <w:widowControl w:val="false"/>
              <w:ind w:firstLine="284"/>
              <w:rPr/>
            </w:pPr>
            <w:r>
              <w:rPr/>
              <w:t xml:space="preserve">– </w:t>
            </w:r>
            <w:r>
              <w:rPr/>
              <w:t>на конец года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45400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4780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3510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46670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46670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5700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5330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47040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47040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2930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4905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45065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  <w:t>4.Средняя фактическая цена реализации единицы изделия, руб.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2600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3289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  <w:t>5.Средняя рыночная цена реализации единицы аналогичного изделия, руб.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2540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3310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  <w:t>6.Среднесписочная численность работников, чел.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232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217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  <w:t>7. Количество принятых работников, чел.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18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  <w:t>8. Количество уволенных работников, чел.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  <w:t>9. Среднегодовая стоимость нематериальных активов, тыс. руб.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2170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3800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  <w:t>10. Среднегодовая стоимость всех активов предприятия, тыс. руб.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87004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91260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95850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  <w:t>11. Фонд заработной платы, тыс. руб.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4756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4577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4505</w:t>
            </w:r>
          </w:p>
        </w:tc>
      </w:tr>
      <w:tr>
        <w:trPr/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rPr/>
            </w:pPr>
            <w:r>
              <w:rPr/>
              <w:t>12. Средняя заработная плата по региону, руб.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15100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15940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16600</w:t>
            </w:r>
          </w:p>
        </w:tc>
      </w:tr>
    </w:tbl>
    <w:p>
      <w:pPr>
        <w:pStyle w:val="Style42"/>
        <w:widowControl/>
        <w:tabs>
          <w:tab w:val="clear" w:pos="708"/>
          <w:tab w:val="left" w:pos="139" w:leader="none"/>
          <w:tab w:val="left" w:pos="9355" w:leader="none"/>
        </w:tabs>
        <w:spacing w:lineRule="auto" w:line="288"/>
        <w:ind w:right="-1" w:firstLine="709"/>
        <w:jc w:val="left"/>
        <w:rPr>
          <w:rStyle w:val="FontStyle164"/>
          <w:sz w:val="20"/>
          <w:szCs w:val="20"/>
        </w:rPr>
      </w:pPr>
      <w:r>
        <w:rPr>
          <w:rStyle w:val="FontStyle164"/>
          <w:sz w:val="20"/>
          <w:szCs w:val="20"/>
        </w:rPr>
        <w:t>Результаты оформите в таблицу:</w:t>
      </w:r>
    </w:p>
    <w:p>
      <w:pPr>
        <w:pStyle w:val="Style42"/>
        <w:widowControl/>
        <w:tabs>
          <w:tab w:val="clear" w:pos="708"/>
          <w:tab w:val="left" w:pos="139" w:leader="none"/>
          <w:tab w:val="left" w:pos="9355" w:leader="none"/>
        </w:tabs>
        <w:spacing w:lineRule="auto" w:line="288"/>
        <w:ind w:right="-1" w:firstLine="709"/>
        <w:jc w:val="center"/>
        <w:rPr>
          <w:rStyle w:val="FontStyle164"/>
          <w:sz w:val="20"/>
          <w:szCs w:val="20"/>
        </w:rPr>
      </w:pPr>
      <w:r>
        <w:rPr>
          <w:rStyle w:val="FontStyle164"/>
          <w:sz w:val="20"/>
          <w:szCs w:val="20"/>
        </w:rPr>
        <w:t>Таблица 2 – Оценка экономической безопасности организации</w:t>
      </w:r>
    </w:p>
    <w:tbl>
      <w:tblPr>
        <w:tblW w:w="495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8"/>
        <w:gridCol w:w="1024"/>
        <w:gridCol w:w="1020"/>
        <w:gridCol w:w="1023"/>
        <w:gridCol w:w="1536"/>
      </w:tblGrid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  <w:sz w:val="20"/>
                <w:szCs w:val="20"/>
              </w:rPr>
            </w:pPr>
            <w:r>
              <w:rPr>
                <w:rStyle w:val="FontStyle164"/>
                <w:sz w:val="20"/>
                <w:szCs w:val="20"/>
              </w:rPr>
              <w:t>Показатель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2018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2019 г.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rPr/>
            </w:pPr>
            <w:r>
              <w:rPr/>
              <w:t>2020 г.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40"/>
              <w:ind w:right="-91" w:hanging="96"/>
              <w:jc w:val="center"/>
              <w:rPr>
                <w:rStyle w:val="FontStyle164"/>
                <w:sz w:val="20"/>
                <w:szCs w:val="20"/>
              </w:rPr>
            </w:pPr>
            <w:r>
              <w:rPr>
                <w:rStyle w:val="FontStyle164"/>
                <w:sz w:val="20"/>
                <w:szCs w:val="20"/>
              </w:rPr>
              <w:t>2020 г. к 2018 г., %</w:t>
            </w:r>
          </w:p>
        </w:tc>
      </w:tr>
      <w:tr>
        <w:trPr/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  <w:i/>
                <w:i/>
                <w:sz w:val="20"/>
                <w:szCs w:val="20"/>
              </w:rPr>
            </w:pPr>
            <w:r>
              <w:rPr>
                <w:rStyle w:val="FontStyle164"/>
                <w:i/>
                <w:sz w:val="20"/>
                <w:szCs w:val="20"/>
              </w:rPr>
              <w:t>Производственные показатели:</w:t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Темп роста валовой продукции, %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Коэффициент обновления основных производственных фондов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Конкурентоспособность продукции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Фондовооруженность, руб.</w:t>
            </w:r>
          </w:p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/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  <w:i/>
                <w:i/>
                <w:sz w:val="20"/>
                <w:szCs w:val="20"/>
              </w:rPr>
            </w:pPr>
            <w:r>
              <w:rPr>
                <w:rStyle w:val="FontStyle164"/>
                <w:i/>
                <w:sz w:val="20"/>
                <w:szCs w:val="20"/>
              </w:rPr>
              <w:t>Финансово-хозяйственные показатели:</w:t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Фондоотдача, руб.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Фондоемкость, руб.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Капиталоемкость, руб.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Производительность труда, руб.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Рентабельность производства, %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Коэффициент обеспеченности интеллектуальной собственностью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  <w:i/>
                <w:i/>
                <w:sz w:val="20"/>
                <w:szCs w:val="20"/>
              </w:rPr>
            </w:pPr>
            <w:r>
              <w:rPr>
                <w:rStyle w:val="FontStyle164"/>
                <w:i/>
                <w:sz w:val="20"/>
                <w:szCs w:val="20"/>
              </w:rPr>
              <w:t>Показатели социальной сферы:</w:t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Коэффициент оборота по приему работников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Коэффициент оборота по выбытию работников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Уровень заработной платы на предприятии к среднему по региону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  <w:tr>
        <w:trPr/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left"/>
              <w:rPr>
                <w:rStyle w:val="FontStyle164"/>
              </w:rPr>
            </w:pPr>
            <w:r>
              <w:rPr>
                <w:rStyle w:val="FontStyle164"/>
              </w:rPr>
              <w:t>Соотношение темпов производительности труда и средней заработной платы на предприятии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2"/>
              <w:widowControl w:val="false"/>
              <w:tabs>
                <w:tab w:val="clear" w:pos="708"/>
                <w:tab w:val="left" w:pos="139" w:leader="none"/>
                <w:tab w:val="left" w:pos="9355" w:leader="none"/>
              </w:tabs>
              <w:spacing w:lineRule="auto" w:line="288"/>
              <w:ind w:right="-1" w:hanging="0"/>
              <w:jc w:val="center"/>
              <w:rPr>
                <w:rStyle w:val="FontStyle164"/>
              </w:rPr>
            </w:pPr>
            <w:r>
              <w:rPr/>
            </w:r>
          </w:p>
        </w:tc>
      </w:tr>
    </w:tbl>
    <w:p>
      <w:pPr>
        <w:pStyle w:val="ConsPlusNormal"/>
        <w:ind w:firstLine="720"/>
        <w:rPr>
          <w:rFonts w:ascii="Times New Roman" w:hAnsi="Times New Roman" w:cs="Times New Roman"/>
          <w:b/>
          <w:b/>
        </w:rPr>
      </w:pPr>
      <w:r>
        <w:br w:type="page"/>
      </w:r>
      <w:r>
        <w:rPr>
          <w:rFonts w:cs="Times New Roman" w:ascii="Times New Roman" w:hAnsi="Times New Roman"/>
          <w:b/>
        </w:rPr>
        <w:t xml:space="preserve">Задание 2.  </w:t>
      </w:r>
      <w:r>
        <w:rPr>
          <w:rFonts w:cs="Times New Roman" w:ascii="Times New Roman" w:hAnsi="Times New Roman"/>
        </w:rPr>
        <w:t>На основании исходных данных требуется провести анализ банкротства юридического лица (с учетом всех моделей) за 2019-2020 годы.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ind w:firstLine="720"/>
        <w:jc w:val="both"/>
        <w:rPr>
          <w:rFonts w:eastAsia="Calibri"/>
          <w:b/>
          <w:b/>
          <w:bCs/>
          <w:lang w:eastAsia="en-US"/>
        </w:rPr>
      </w:pPr>
      <w:r>
        <w:rPr>
          <w:i/>
        </w:rPr>
        <w:t>Методические указания:</w:t>
      </w:r>
    </w:p>
    <w:p>
      <w:pPr>
        <w:pStyle w:val="Normal"/>
        <w:ind w:firstLine="720"/>
        <w:jc w:val="both"/>
        <w:rPr>
          <w:i/>
          <w:i/>
        </w:rPr>
      </w:pPr>
      <w:r>
        <w:rPr>
          <w:rFonts w:eastAsia="Calibri"/>
          <w:bCs/>
          <w:lang w:eastAsia="en-US"/>
        </w:rPr>
        <w:t>Для выполнения задания анализа диагностики банкротства по данным бухгалтерской отчетности необходимо использовать динамические модели.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На сегодняшний день в экономический литературе упоминается четыре модели Альтмана. Двухфакторная модель Альтмана является одной из самых распространенных методик прогнозирования вероятности банкротства, при этом необходимо рассчитать влияние только двух факторов: коэффициента текущей ликвидности и удельного веса заемных средств в пассивах. Формула данной модели имеет вид:</w:t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ind w:firstLine="720"/>
        <w:jc w:val="right"/>
        <w:rPr/>
      </w:pPr>
      <w:r>
        <w:rPr>
          <w:rFonts w:eastAsia="Calibri"/>
          <w:bCs/>
          <w:lang w:eastAsia="en-US"/>
        </w:rPr>
        <w:t>Z = -0,3877 - 1,0736 x КТЛ + 0,579 x (ЗК / П),</w:t>
      </w:r>
      <w:r>
        <w:rPr/>
        <w:t xml:space="preserve"> </w:t>
        <w:tab/>
        <w:tab/>
        <w:tab/>
        <w:tab/>
        <w:tab/>
        <w:t>(1)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где КТЛ - коэффициент текущей ликвидности;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ЗК - заемный капитал;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 - пассивы.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 значении Z&gt; 0 ситуация в анализируемой компании критична, вероятность наступления банкротства высока.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1968 г. была опубликована самая популярная пятифакторная модель Альтмана для акционерных обществ, акции которых котируются на рынке. Формула расчета пятифакторной модели Альтмана имеет следующий вид:</w:t>
      </w:r>
    </w:p>
    <w:p>
      <w:pPr>
        <w:pStyle w:val="Normal"/>
        <w:ind w:firstLine="720"/>
        <w:jc w:val="center"/>
        <w:rPr/>
      </w:pPr>
      <w:r>
        <w:rPr>
          <w:rFonts w:eastAsia="Calibri"/>
          <w:bCs/>
          <w:lang w:eastAsia="en-US"/>
        </w:rPr>
        <w:t xml:space="preserve">       </w:t>
      </w:r>
      <w:r>
        <w:rPr>
          <w:rFonts w:eastAsia="Calibri"/>
          <w:bCs/>
          <w:lang w:eastAsia="en-US"/>
        </w:rPr>
        <w:t>Z = 1,2X1 + 1,4X2 + 3,3X3 + 0,6X4 + X5,</w:t>
      </w:r>
      <w:r>
        <w:rPr/>
        <w:t xml:space="preserve"> </w:t>
        <w:tab/>
        <w:tab/>
        <w:tab/>
        <w:tab/>
        <w:tab/>
        <w:t xml:space="preserve">      (2)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где X1 рассчитывается как оборотный капитал за вычетом величины дебиторской задолженности (платежи по которой ожидаются более чем через 12 месяцев после отчетной даты) и величины краткосрочных обязательств к сумме активов предприятия. Показатель X1 оценивает сумму чистых ликвидных активов компании по отношению к совокупным активам;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X2 - это отношение чистой прибыли (убыток) к сумме активов предприятия. Данный показатель отражает уровень финансового рычага компании;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X3 - это отношение прибыли до налогообложения к общей стоимости активов. Показатель отражает эффективность операционной деятельности компании;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X4 - это отношение капитала и резервов к стоимости всех обязательств;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X5 - это отношение чистой прибыли к общей величине активов предприятия. Данный показатель характеризует рентабельность активов предприятия.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результате подсчета показателя Z для конкретного предприятия делается заключение: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Если Z &lt; 1,81 - это говорит о том, что вероятность банкротства составляет от 80 до 100%.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Если 1,81 &lt;= Z &lt; 2,77, то средняя вероятность риска банкротства компании составляет от 35 до 50%.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Если 2,77 &lt; Z &lt; 2,99 - вероятность банкротства невелика (от 15 до 20%).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Если Z &gt; 2,99, это значит, что ситуация на предприятии стабильна, риск неплатежеспособности в краткосрочной перспективе незначителен.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Третья модель Альтмана была опубликована в 1983 г. Это модифицированный вариант пятифакторной модели, который имеет вид: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ind w:firstLine="720"/>
        <w:jc w:val="right"/>
        <w:rPr/>
      </w:pPr>
      <w:r>
        <w:rPr>
          <w:rFonts w:eastAsia="Calibri"/>
          <w:bCs/>
          <w:lang w:eastAsia="en-US"/>
        </w:rPr>
        <w:t>Z = 0,717X1 + 0,847X2 + 3,107X3 + 0,42X4 + 0,995X5,</w:t>
      </w:r>
      <w:r>
        <w:rPr/>
        <w:t xml:space="preserve"> </w:t>
        <w:tab/>
        <w:tab/>
        <w:tab/>
        <w:t>(3)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где X4 - балансовая стоимость собственного капитала/ стоимость заемного капитала.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Если Z &lt; 1,23 - предприятие признается банкротом, при значении Z в диапазоне от 1,23 до 2,89 ситуация неопределенна, значение Z более 2,9 присуще стабильным и финансово устойчивым компаниям.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1977 г. британские ученые Р. Таффлер и Г. Тишоу апробировали подход Альтмана с отличающимся набором факторов, которая включает измерение доходности, соответствия оборотного капитала, финансового риска и ликвидности. Формула расчета имеет вид: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ind w:firstLine="720"/>
        <w:jc w:val="right"/>
        <w:rPr/>
      </w:pPr>
      <w:r>
        <w:rPr>
          <w:rFonts w:eastAsia="Calibri"/>
          <w:bCs/>
          <w:lang w:eastAsia="en-US"/>
        </w:rPr>
        <w:t>Z = 0,53X1 + 0,13X2 + 0,18X3 + 0,16X4,</w:t>
      </w:r>
      <w:r>
        <w:rPr/>
        <w:t xml:space="preserve"> </w:t>
        <w:tab/>
        <w:tab/>
        <w:tab/>
        <w:tab/>
        <w:t>(4)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где X1 - отношение прибыли от реализации к краткосрочным обязательствам;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X2 - отношение оборотных активов за вычетом налога на добавленную стоимость к сумме долгосрочных и краткосрочных обязательств;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X3 - отношение краткосрочных обязательств к итогу по пассиву;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X4 - отношение выручки к итогу по пассиву.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 Z &gt; 0,3 вероятность банкротства низкая, а при Z &lt; 0,2 высокая.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Отечественный вариант интегральной балльной оценки финансовой устойчивости предложил В. Ковалев. 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основе модели лежит четырехфакторная модель. На основе регрессионного уравнения рассчитывается интегральный показатель R риска банкротства предприятия. В зависимости от его значения делается вывод о вероятности наступления банкротства. Формула расчета имеет вид:</w:t>
      </w:r>
    </w:p>
    <w:p>
      <w:pPr>
        <w:pStyle w:val="Normal"/>
        <w:ind w:firstLine="72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R = 8,38X1 + X2 + 0,054X3 + 0,63X4 (табл. 3.),</w:t>
      </w:r>
      <w:r>
        <w:rPr/>
        <w:t xml:space="preserve"> </w:t>
        <w:tab/>
        <w:tab/>
        <w:tab/>
        <w:tab/>
        <w:t xml:space="preserve">  (5)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где X1 - чистый оборотный (работающий) капитал/активы;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X2 - чистая прибыль/собственный капитал;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X3 - чистый доход/валюта баланса;</w:t>
      </w:r>
    </w:p>
    <w:p>
      <w:pPr>
        <w:pStyle w:val="Normal"/>
        <w:ind w:firstLine="7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X4 - чистая прибыль/суммарные затраты.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Таблица 3</w:t>
      </w:r>
      <w:bookmarkStart w:id="0" w:name="Par68"/>
      <w:bookmarkEnd w:id="0"/>
      <w:r>
        <w:rPr>
          <w:rFonts w:eastAsia="Calibri"/>
          <w:bCs/>
          <w:lang w:eastAsia="en-US"/>
        </w:rPr>
        <w:t xml:space="preserve"> </w:t>
      </w:r>
      <w:r>
        <w:rPr>
          <w:rStyle w:val="FontStyle164"/>
        </w:rPr>
        <w:t xml:space="preserve">– </w:t>
      </w:r>
      <w:r>
        <w:rPr>
          <w:rFonts w:eastAsia="Calibri"/>
          <w:bCs/>
          <w:lang w:eastAsia="en-US"/>
        </w:rPr>
        <w:t>Связь значения показателя R и вероятности банкротства</w:t>
      </w:r>
    </w:p>
    <w:p>
      <w:pPr>
        <w:pStyle w:val="Normal"/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</w:p>
    <w:tbl>
      <w:tblPr>
        <w:tblW w:w="9924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9"/>
        <w:gridCol w:w="3722"/>
        <w:gridCol w:w="3143"/>
      </w:tblGrid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Значение R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Вероятность банкротства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 %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Меньше 0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Максимальная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90 - 100%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0 - 0,18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Высокая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60 - 80%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0,18 - 0,32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Средняя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20 - 35%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0,32 - 0,42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Низкая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15 - 20%</w:t>
            </w:r>
          </w:p>
        </w:tc>
      </w:tr>
      <w:tr>
        <w:trPr/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Больше 0,42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Минимальная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 10%</w:t>
            </w:r>
          </w:p>
        </w:tc>
      </w:tr>
    </w:tbl>
    <w:p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8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Задание 3. На основе изучения специализированной литературы по теме занятия заполнить недостающие показатели таблицы 4.</w:t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Таблица </w:t>
      </w:r>
      <w:r>
        <w:rPr>
          <w:rFonts w:eastAsia="Calibri"/>
          <w:bCs/>
          <w:lang w:eastAsia="en-US"/>
        </w:rPr>
        <w:t>4</w:t>
      </w:r>
      <w:r>
        <w:rPr>
          <w:rFonts w:eastAsia="Calibri"/>
          <w:lang w:eastAsia="en-US"/>
        </w:rPr>
        <w:t xml:space="preserve"> </w:t>
      </w:r>
      <w:r>
        <w:rPr>
          <w:rStyle w:val="FontStyle164"/>
        </w:rPr>
        <w:t xml:space="preserve">– </w:t>
      </w:r>
      <w:r>
        <w:rPr>
          <w:rFonts w:eastAsia="Calibri"/>
          <w:lang w:eastAsia="en-US"/>
        </w:rPr>
        <w:t>Понятия и процедуры по обеспечению экономической</w:t>
      </w:r>
    </w:p>
    <w:p>
      <w:pPr>
        <w:pStyle w:val="Normal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безопасности хозяйствующих субъектов - участников внешнеэкономической деятельности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tbl>
      <w:tblPr>
        <w:tblW w:w="9923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7228"/>
      </w:tblGrid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Понятия и процедуры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Краткая характеристика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Внешние угрозы экономической безопасности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Порождаются внешней средой и подразумевают, в частности: деятельность спецслужб по добыванию экономической информации; промышленный шпионаж; мошеннические и другие противоправные действия, организованную преступность.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Внутренние угрозы экономической безопасности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Порождаются внутренней средой организации и предполагают противоправные и иные негативные действия сотрудников во вред организации, например, разглашение коммерческой тайны; отсутствие внутрифирменных стандартов по обеспечению экономической безопасности; иные нарушения порядка и правил соблюдения режима безопасности на объекте; низкий уровень финансового менеджмента; нерациональное использование активов и финансовых средств.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Низкий уровень конкурентоспособности; неблагоприятный инвестиционный и международный климат; неустойчивость финансового состояния; отрицательная динамика производства: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а) </w:t>
            </w:r>
            <w:r>
              <w:rPr>
                <w:rFonts w:eastAsia="Calibri"/>
                <w:bCs/>
                <w:lang w:eastAsia="en-US"/>
              </w:rPr>
              <w:t>производственные индикаторы экономической безопасности</w:t>
            </w:r>
            <w:r>
              <w:rPr>
                <w:rFonts w:eastAsia="Calibri"/>
                <w:lang w:eastAsia="en-US"/>
              </w:rPr>
              <w:t>: фактическая загруженность производственных мощностей; доля НИОКР в общем объеме работ; темпы реновации основных производственных фондов; доля производства в ВВП; конкурентоспособность продукции; состав, структура и степень изношенности машин и оборудования;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б) </w:t>
            </w:r>
            <w:r>
              <w:rPr>
                <w:rFonts w:eastAsia="Calibri"/>
                <w:bCs/>
                <w:lang w:eastAsia="en-US"/>
              </w:rPr>
              <w:t>финансовые индикаторы экономической безопасности</w:t>
            </w:r>
            <w:r>
              <w:rPr>
                <w:rFonts w:eastAsia="Calibri"/>
                <w:lang w:eastAsia="en-US"/>
              </w:rPr>
              <w:t>: валовой объем предполагаемой выручки от продаж; потребность в инвестициях; уровень инновационной активности; рентабельность и фондоотдача производства; просроченная дебиторская и кредиторская задолженность; обеспеченность собственными источниками финансирования оборотных средств;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в) </w:t>
            </w:r>
            <w:r>
              <w:rPr>
                <w:rFonts w:eastAsia="Calibri"/>
                <w:bCs/>
                <w:lang w:eastAsia="en-US"/>
              </w:rPr>
              <w:t>социальные индикаторы экономической безопасности</w:t>
            </w:r>
            <w:r>
              <w:rPr>
                <w:rFonts w:eastAsia="Calibri"/>
                <w:lang w:eastAsia="en-US"/>
              </w:rPr>
              <w:t>: сравнительный уровень оплаты труда применительно к среднеотраслевым показателям; производительность труда, обеспеченность профессиональными кадрами.</w:t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right"/>
        <w:rPr/>
      </w:pPr>
      <w:r>
        <w:rPr/>
        <w:t>Продолжение таблицы 4</w:t>
      </w:r>
    </w:p>
    <w:tbl>
      <w:tblPr>
        <w:tblW w:w="9923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7228"/>
      </w:tblGrid>
      <w:tr>
        <w:trPr>
          <w:trHeight w:val="70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Меры, осуществляемые в целях предупреждения банкротства и восстановления платежеспособности должника, - на любой стадии рассмотрения дела о банкротстве</w:t>
            </w:r>
          </w:p>
        </w:tc>
      </w:tr>
      <w:tr>
        <w:trPr>
          <w:trHeight w:val="12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Наблюдение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451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Финансовое оздоровление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Процедура, применяемая на любой стадии банкротства в целях прекращения производства по делу о банкротстве путем достижения соглашения между должником и кредиторами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финансового состояния должника проводится в целях определения достаточности принадлежащего должнику имущества для покрытия расходов в деле о банкротстве, в том числе расходов на выплату вознаграждения арбитражным управляющим, а также в целях определения возможности или невозможности восстановления платежеспособности должника в «О несостоятельности (банкротстве)»</w:t>
            </w:r>
          </w:p>
        </w:tc>
      </w:tr>
      <w:tr>
        <w:trPr>
          <w:trHeight w:val="59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 государственного регулирования внешней торговли товарами путем применения ввозных и вывозных таможенных пошлин</w:t>
            </w:r>
          </w:p>
        </w:tc>
      </w:tr>
      <w:tr>
        <w:trPr>
          <w:trHeight w:val="117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Меры, затрагивающие внешнюю торговлю услугами и вводимые исходя из национальных интересов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10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Ответные меры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Особый режим хозяйственной, в том числе внешнеторговой, деятельности на территориях особых экономических зон устанавливается Федеральным </w:t>
            </w:r>
            <w:hyperlink r:id="rId2">
              <w:r>
                <w:rPr>
                  <w:rFonts w:eastAsia="Calibri"/>
                  <w:lang w:eastAsia="en-US"/>
                </w:rPr>
                <w:t>законом</w:t>
              </w:r>
            </w:hyperlink>
            <w:r>
              <w:rPr>
                <w:rFonts w:eastAsia="Calibri"/>
                <w:lang w:eastAsia="en-US"/>
              </w:rPr>
              <w:t xml:space="preserve"> «Об особых экономических зонах в Российской Федерации»</w:t>
            </w:r>
          </w:p>
        </w:tc>
      </w:tr>
      <w:tr>
        <w:trPr/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Правительство Российской Федерации и органы исполнительной власти ее субъектов в рамках своей компетенции осуществляют в соответствии с международными договорами мероприятия, содействующие развитию внешнеторговой деятельности, в частности, обеспечивают: кредитование участников внешнеторговой деятельности; функционирование систем гарантий и страхования экспортных кредитов; организацию торговых выставок и ярмарок, специализированных симпозиумов и конференций и участие в них; проведение кампаний  по продвижению российских товаров, услуг, интеллектуальной собственности на мировые рынки.</w:t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18"/>
    <w:lvlOverride w:ilvl="0">
      <w:startOverride w:val="1"/>
    </w:lvlOverride>
  </w:num>
  <w:num w:numId="21">
    <w:abstractNumId w:val="18"/>
  </w:num>
</w:numbering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731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10731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ntStyle133" w:customStyle="1">
    <w:name w:val="Font Style133"/>
    <w:uiPriority w:val="99"/>
    <w:qFormat/>
    <w:rsid w:val="0010731e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8" w:customStyle="1">
    <w:name w:val="Font Style138"/>
    <w:uiPriority w:val="99"/>
    <w:qFormat/>
    <w:rsid w:val="0010731e"/>
    <w:rPr>
      <w:rFonts w:ascii="Times New Roman" w:hAnsi="Times New Roman" w:cs="Times New Roman"/>
      <w:i/>
      <w:iCs/>
      <w:sz w:val="22"/>
      <w:szCs w:val="22"/>
    </w:rPr>
  </w:style>
  <w:style w:type="character" w:styleId="FontStyle137" w:customStyle="1">
    <w:name w:val="Font Style137"/>
    <w:uiPriority w:val="99"/>
    <w:qFormat/>
    <w:rsid w:val="0010731e"/>
    <w:rPr>
      <w:rFonts w:ascii="Times New Roman" w:hAnsi="Times New Roman" w:cs="Times New Roman"/>
      <w:sz w:val="22"/>
      <w:szCs w:val="22"/>
    </w:rPr>
  </w:style>
  <w:style w:type="character" w:styleId="11" w:customStyle="1">
    <w:name w:val="Основной текст + 11"/>
    <w:uiPriority w:val="99"/>
    <w:qFormat/>
    <w:rsid w:val="0010731e"/>
    <w:rPr>
      <w:rFonts w:ascii="Times New Roman" w:hAnsi="Times New Roman" w:cs="Times New Roman"/>
      <w:sz w:val="23"/>
      <w:szCs w:val="23"/>
      <w:u w:val="none"/>
    </w:rPr>
  </w:style>
  <w:style w:type="character" w:styleId="FontStyle164" w:customStyle="1">
    <w:name w:val="Font Style164"/>
    <w:uiPriority w:val="99"/>
    <w:qFormat/>
    <w:rsid w:val="0010731e"/>
    <w:rPr>
      <w:rFonts w:ascii="Times New Roman" w:hAnsi="Times New Roman" w:cs="Times New Roman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rsid w:val="0010731e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qFormat/>
    <w:rsid w:val="0010731e"/>
    <w:pPr>
      <w:widowControl/>
      <w:suppressAutoHyphens w:val="true"/>
      <w:spacing w:before="40" w:after="0"/>
    </w:pPr>
    <w:rPr>
      <w:rFonts w:cs="Calibri"/>
      <w:b/>
      <w:sz w:val="28"/>
      <w:lang w:eastAsia="ar-SA"/>
    </w:rPr>
  </w:style>
  <w:style w:type="paragraph" w:styleId="FR2" w:customStyle="1">
    <w:name w:val="FR2"/>
    <w:qFormat/>
    <w:rsid w:val="0010731e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Default" w:customStyle="1">
    <w:name w:val="Default"/>
    <w:qFormat/>
    <w:rsid w:val="001073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10731e"/>
    <w:pPr>
      <w:spacing w:lineRule="exact" w:line="298"/>
    </w:pPr>
    <w:rPr>
      <w:sz w:val="24"/>
      <w:szCs w:val="24"/>
    </w:rPr>
  </w:style>
  <w:style w:type="paragraph" w:styleId="Style51" w:customStyle="1">
    <w:name w:val="Style51"/>
    <w:basedOn w:val="Normal"/>
    <w:uiPriority w:val="99"/>
    <w:qFormat/>
    <w:rsid w:val="0010731e"/>
    <w:pPr>
      <w:spacing w:lineRule="exact" w:line="274"/>
    </w:pPr>
    <w:rPr>
      <w:sz w:val="24"/>
      <w:szCs w:val="24"/>
    </w:rPr>
  </w:style>
  <w:style w:type="paragraph" w:styleId="ConsPlusNormal" w:customStyle="1">
    <w:name w:val="ConsPlusNormal"/>
    <w:qFormat/>
    <w:rsid w:val="0010731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42" w:customStyle="1">
    <w:name w:val="Style42"/>
    <w:basedOn w:val="Normal"/>
    <w:uiPriority w:val="99"/>
    <w:qFormat/>
    <w:rsid w:val="0010731e"/>
    <w:pPr>
      <w:spacing w:lineRule="exact" w:line="221"/>
      <w:jc w:val="both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C2F4632063A983434414D8B23087086072E0A877DDEA40F0F8B1CE89A0Eb2H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LibreOffice/7.0.1.2$Windows_x86 LibreOffice_project/7cbcfc562f6eb6708b5ff7d7397325de9e764452</Application>
  <Pages>19</Pages>
  <Words>2450</Words>
  <Characters>17829</Characters>
  <CharactersWithSpaces>19918</CharactersWithSpaces>
  <Paragraphs>367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2021-09-22T21:21:00Z</dcterms:created>
  <dc:creator>user</dc:creator>
  <dc:description/>
  <dc:language>ru-RU</dc:language>
  <cp:lastModifiedBy/>
  <dcterms:modified xsi:type="dcterms:W3CDTF">2021-09-23T13:35:13Z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