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C8" w:rsidRDefault="00A747C8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C8" w:rsidRDefault="00A747C8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C8" w:rsidRDefault="00A747C8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C8" w:rsidRDefault="00A747C8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C8" w:rsidRDefault="00A747C8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C8" w:rsidRPr="007470D6" w:rsidRDefault="00A747C8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0E300F" w:rsidRDefault="000E300F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300F"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52DDB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A747C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8402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 </w:t>
      </w:r>
      <w:r w:rsidR="00CA6AE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Форма проведения </w:t>
      </w:r>
      <w:r w:rsidR="00CA6AE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CA6AE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вопросам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0E3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397663" w:rsidP="000E300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 w:rsidR="000E300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  <w:r w:rsidR="009E6A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9E6A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="00155A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КрЗ</w:t>
            </w:r>
            <w:proofErr w:type="spellEnd"/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11DC1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B54033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F37F5E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C5575D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5D" w:rsidRPr="007470D6" w:rsidRDefault="00A11DC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473F96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A11DC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473F96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F37F5E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="00155A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КрЗ</w:t>
            </w:r>
            <w:proofErr w:type="spellEnd"/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DE" w:rsidRDefault="00A750DE" w:rsidP="00A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УК-6</w:t>
            </w:r>
          </w:p>
          <w:p w:rsidR="00473F96" w:rsidRPr="007470D6" w:rsidRDefault="00A750DE" w:rsidP="00A750DE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A11DC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Вопросы к </w:t>
      </w:r>
      <w:r w:rsidR="00CA6AE8">
        <w:rPr>
          <w:rFonts w:ascii="Times New Roman" w:eastAsia="Times New Roman" w:hAnsi="Times New Roman"/>
          <w:b/>
          <w:sz w:val="28"/>
          <w:szCs w:val="28"/>
          <w:lang w:eastAsia="ar-SA"/>
        </w:rPr>
        <w:t>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6122A7" w:rsidRPr="006122A7" w:rsidRDefault="006122A7" w:rsidP="006122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Конструкции </w:t>
      </w: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магнитопроводов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 трансформаторов: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стержневого типа, </w:t>
      </w: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броневого типа;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бронестержневого типа;  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Охлаждение трансформаторов:</w:t>
      </w:r>
    </w:p>
    <w:p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Трансформаторы, охлаждаемые </w:t>
      </w:r>
      <w:proofErr w:type="gramStart"/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жидким</w:t>
      </w:r>
      <w:proofErr w:type="gramEnd"/>
    </w:p>
    <w:p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Уравнения напряжений трансформатора;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Трехфазные трансформаторы;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:rsidR="006122A7" w:rsidRPr="006122A7" w:rsidRDefault="006122A7" w:rsidP="006122A7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понятие линейного и фазного напряжений, коэффициенты трансформации;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:rsidR="006122A7" w:rsidRPr="006122A7" w:rsidRDefault="006122A7" w:rsidP="006122A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:rsidR="006122A7" w:rsidRPr="006122A7" w:rsidRDefault="006122A7" w:rsidP="006122A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3pt" o:ole="">
            <v:imagedata r:id="rId6" o:title=""/>
          </v:shape>
          <o:OLEObject Type="Embed" ProgID="Equation.3" ShapeID="_x0000_i1025" DrawAspect="Content" ObjectID="_1757426523" r:id="rId7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>
          <v:shape id="_x0000_i1026" type="#_x0000_t75" style="width:215pt;height:23pt" o:ole="">
            <v:imagedata r:id="rId8" o:title=""/>
          </v:shape>
          <o:OLEObject Type="Embed" ProgID="Equation.3" ShapeID="_x0000_i1026" DrawAspect="Content" ObjectID="_1757426524" r:id="rId9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6122A7" w:rsidRPr="006122A7" w:rsidRDefault="006122A7" w:rsidP="006122A7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Тормозные режимы работы двигателей  постоянного тока;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:rsidR="006122A7" w:rsidRPr="006122A7" w:rsidRDefault="006122A7" w:rsidP="006122A7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:rsidR="006122A7" w:rsidRPr="006122A7" w:rsidRDefault="006122A7" w:rsidP="006122A7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>
          <v:shape id="_x0000_i1027" type="#_x0000_t75" style="width:183pt;height:41pt" o:ole="">
            <v:imagedata r:id="rId10" o:title=""/>
          </v:shape>
          <o:OLEObject Type="Embed" ProgID="Equation.3" ShapeID="_x0000_i1027" DrawAspect="Content" ObjectID="_1757426525" r:id="rId11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>
          <v:shape id="_x0000_i1028" type="#_x0000_t75" style="width:66pt;height:20pt" o:ole="">
            <v:imagedata r:id="rId12" o:title=""/>
          </v:shape>
          <o:OLEObject Type="Embed" ProgID="Equation.3" ShapeID="_x0000_i1028" DrawAspect="Content" ObjectID="_1757426526" r:id="rId13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:rsidR="006122A7" w:rsidRPr="006122A7" w:rsidRDefault="006122A7" w:rsidP="006122A7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>
          <v:shape id="_x0000_i1029" type="#_x0000_t75" style="width:199pt;height:21pt" o:ole="">
            <v:imagedata r:id="rId14" o:title=""/>
          </v:shape>
          <o:OLEObject Type="Embed" ProgID="Equation.3" ShapeID="_x0000_i1029" DrawAspect="Content" ObjectID="_1757426527" r:id="rId15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122A7" w:rsidRPr="006122A7" w:rsidRDefault="006122A7" w:rsidP="006122A7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Работа трёхфазного асинхронного двигателя от однофазной сети;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:rsidR="006122A7" w:rsidRPr="006122A7" w:rsidRDefault="006122A7" w:rsidP="006122A7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двигатели с экранированными полюсами;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 xml:space="preserve">Индукционный регулятор напряжения и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фазорегулятор;</w:t>
      </w:r>
    </w:p>
    <w:p w:rsidR="006122A7" w:rsidRPr="006122A7" w:rsidRDefault="006122A7" w:rsidP="006122A7">
      <w:pPr>
        <w:spacing w:after="12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Электрические машины синхронной связи: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система «электрического вала» (синхронного враще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softHyphen/>
        <w:t>ния) и система «передачи угла» (синхронного поворота).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Асинхронные исполнительные двигатели.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4D4" w:rsidRPr="007470D6" w:rsidRDefault="009E4095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  <w:p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300F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55A11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7C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02EB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6A1C"/>
    <w:rsid w:val="009E77F1"/>
    <w:rsid w:val="009F2A44"/>
    <w:rsid w:val="00A11DC1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7C8"/>
    <w:rsid w:val="00A74EA6"/>
    <w:rsid w:val="00A750DE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36BB5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A6AE8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35500"/>
    <w:rsid w:val="00E40217"/>
    <w:rsid w:val="00E4164B"/>
    <w:rsid w:val="00E44A43"/>
    <w:rsid w:val="00E45C01"/>
    <w:rsid w:val="00E46651"/>
    <w:rsid w:val="00E52541"/>
    <w:rsid w:val="00E52DDB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37F5E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1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55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1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55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15</cp:revision>
  <dcterms:created xsi:type="dcterms:W3CDTF">2021-05-25T08:55:00Z</dcterms:created>
  <dcterms:modified xsi:type="dcterms:W3CDTF">2023-09-28T14:16:00Z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